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86R5818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Thierry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establishing the Mental Health Crisis and Suicide Prevention Task Force.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DEFINITIONS.  In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"Commission" means the Health and Human Services Commission.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"Executive commissioner" means the executive commissioner of the Health and Human Services Commission.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"N-1-1 dial code" means a three-digit telephone number that connects users to a public safety answering point through dialing the three-digit telephone number.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"Statewide mental health crisis line" means a telephonic or other electronic system operated 24 hours a day to connect a mental or behavioral health professional with persons experiencing a mental health crisis.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"Task force" means the Mental Health Crisis and Suicide Prevention Task Force.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ESTABLISHMENT OF TASK FORCE.  The Mental Health Crisis and Suicide Prevention Task Force is established by the executive commissioner to study the efficacy and feasibility of creating a statewide mental health crisis line for treating mental health crises and preventing suicide.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COMPOSITION OF TASK FORCE.  The task force is composed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governor's designee;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two members of the senate, appointed by 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two members of the house of representatives, appointed by the speaker of the house;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10 members appointed by the executive commissioner as follows: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two representatives from the Commission on State Emergency Communications;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two representatives from the commission's mental health crisis services office;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two mental or behavioral health clinicians licensed to practice in this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two physicians licensed to practice in this state, one of whom specializes in psychiatry;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one social worker;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one community advocate in a relevant field.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CHAIR AND VICE CHAIR.  The executive commissioner shall appoint from among the task force members a chair and vice chair.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MEETINGS; QUORUM. (a) The task force shall meet at the call of the chair. The chair shall set the agenda for each meeting.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action of a majority of a quorum constitutes the action of the task force.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COMPENSATION; REIMBURSEMENT.  (a)</w:t>
      </w:r>
      <w:r xml:space="preserve">
        <w:t> </w:t>
      </w:r>
      <w:r xml:space="preserve">
        <w:t> </w:t>
      </w:r>
      <w:r>
        <w:t xml:space="preserve">Except as provided by Subsection (b), a member of the task force may not receive compensation or reimbursement for service on the task force.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task force member who is a legislator engaged in the business of the task force is entitled to compensation and expenses as provided by Chapter 660,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STUDY; REPORT. (a) In cooperation with the commission, the task force shall study: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efficacy and feasibility of designating an N-1-1 dial code or another dialing code for use as a statewide mental health crisis line;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advantages and disadvantages of using a particular statewide N-1-1 dial code or another dialing code for a statewide mental health crisis line.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September 1, 2020, the task force shall prepare and submit to the legislature and the commission a written report containing the results of the study and a recommendation as to whether to establish a particular N-1-1 dial code or other covered dialing code for use as a statewide mental health crisis line.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If the report submitted under Subsection (b) includes a recommendation to establish a particular N-1-1 dial code or other covered dialing code for use as a statewide mental health crisis line, the report must also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outline of the logistics of designating that dial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estimate of the costs associated with designating that dial code, including costs incurred by: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service providers, including: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translation changes in the network;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cell site analysis and reprogramming by wireless carriers;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state and political subdivisions;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recommendations for designating the dial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cost-benefit analysis comparing the recommended dial code with the National Suicide Prevention Lifeline, as the lifeline exists on the date the report is submitted;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other recommendations as appropriate for improving the National Suicide Prevention Lifeline generally, which may include: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increased public education and awareness;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improved infrastructure and operations.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FUNDING.  The task force, through the commission, may accept gifts and grants from any source to fund the duties of the commission and the task force under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APPLICABILITY OF OTHER LAW.  Chapter 2110, Government Code, does not apply to the task force.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10</w:t>
      </w:r>
      <w:r>
        <w:t xml:space="preserve">.</w:t>
      </w:r>
      <w:r xml:space="preserve">
        <w:t> </w:t>
      </w:r>
      <w:r xml:space="preserve">
        <w:t> </w:t>
      </w:r>
      <w:r>
        <w:t xml:space="preserve">EXPIRATION.  This Act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11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 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