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86R8405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1583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government shutdown housing relief loan program;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K, Chapter 2306, Government Code, is amended by adding Section 2306.2591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2306.2591.</w:t>
      </w:r>
      <w:r>
        <w:rPr>
          <w:u w:val="single"/>
        </w:rPr>
        <w:t xml:space="preserve"> </w:t>
      </w:r>
      <w:r>
        <w:rPr>
          <w:u w:val="single"/>
        </w:rPr>
        <w:t xml:space="preserve"> </w:t>
      </w:r>
      <w:r>
        <w:rPr>
          <w:u w:val="single"/>
        </w:rPr>
        <w:t xml:space="preserve">GOVERNMENT SHUTDOWN HOUSING RELIEF LOAN PROGRAM.  (a)  The department shall establish and administer a program to provide loans to federal employees who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considered nonessential or otherwise furloughed during a federal government shutdown;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working without pay during a federal government shutdown as a result of being considered essential or otherwise excepted from a furlough.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loan made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made only for rent, mortgage, or utility payments;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 repaid not later than the 60th day after the date the federal government processes back pay for the loan recipient following the end of a federal government shutdown;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bear interest.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adopt rules necessary to administer the program.  Rules adopted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include requirements for documentation necessary for a loan applicant to establish eligibility for participation in the program, including proof of employment and covered expenses;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impose fees for the failure to repay a loan within the period required by Subsection (b)(2).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use any available revenue, including any available money from the housing trust fund, to provide loans under this section.  The department shall solicit and accept gifts and grants for the purposes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