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86R10767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1589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notification to certain pregnant women regarding their eligibility for coverage under Medicaid and the Healthy Texas Women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531.0995.</w:t>
      </w:r>
      <w:r>
        <w:rPr>
          <w:u w:val="single"/>
        </w:rPr>
        <w:t xml:space="preserve"> </w:t>
      </w:r>
      <w:r>
        <w:rPr>
          <w:u w:val="single"/>
        </w:rPr>
        <w:t xml:space="preserve"> </w:t>
      </w:r>
      <w:r>
        <w:rPr>
          <w:u w:val="single"/>
        </w:rPr>
        <w:t xml:space="preserve">NOTIFICATION OF POTENTIAL AUTOMATIC ENROLLMENT IN THE HEALTHY TEXAS WOMEN PROGRAM.  (a)  In this section, "Healthy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the executive commissioner shall adopt rules requiring the commission to provide to a woman who is a recipient of Medicaid during her pregnancy written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woman has continuous coverage under Medicaid through the second month after the pregnancy ends;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appropriate, the woman's eligibility for enrollment in the Healthy Texas Women program will be determined approximately 30 days after the date the woman's pregnancy ends;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woman is determined eligible for the Healthy Texas Women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she will be automatically enrolled in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her coverage under the program begins on the first day following the date her Medicaid coverage ends.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consult with the Maternal Mortality and Morbidity Task Force established under Chapter 34, Health and Safety Code, to determine when and the manner by which the notice required under Subsection (b) should be provided to women.  If feasible, the commission shall provide the notice to a woman before the third trimester of her pregnancy. </w:t>
      </w:r>
      <w:r>
        <w:rPr>
          <w:u w:val="single"/>
        </w:rPr>
        <w:t xml:space="preserve"> </w:t>
      </w:r>
      <w:r>
        <w:rPr>
          <w:u w:val="single"/>
        </w:rPr>
        <w:t xml:space="preserve">This subsection expires January 1, 2020.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2020, the executive commissioner of the Health and Human Services Commission shall adopt rules required by Section 531.0995,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