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Morrison, Neave, Hunter, Miller,</w:t>
      </w:r>
      <w:r xml:space="preserve">
        <w:tab wTab="150" tlc="none" cTlc="0"/>
      </w:r>
      <w:r>
        <w:t xml:space="preserve">H.B.</w:t>
      </w:r>
      <w:r xml:space="preserve">
        <w:t> </w:t>
      </w:r>
      <w:r>
        <w:t xml:space="preserve">No.</w:t>
      </w:r>
      <w:r xml:space="preserve">
        <w:t> </w:t>
      </w:r>
      <w:r>
        <w:t xml:space="preserve">1590</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statewide policies and practices, personnel training, evidence collection and preservation, and data collection and analysis regarding the prevention, investigation, and prosecution of sexual assault and other sex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420.012, Government Code, is amended to read as follows:</w:t>
      </w:r>
    </w:p>
    <w:p w:rsidR="003F3435" w:rsidRDefault="0032493E">
      <w:pPr>
        <w:spacing w:line="480" w:lineRule="auto"/>
        <w:ind w:firstLine="720"/>
        <w:jc w:val="both"/>
      </w:pPr>
      <w:r>
        <w:t xml:space="preserve">Sec.</w:t>
      </w:r>
      <w:r xml:space="preserve">
        <w:t> </w:t>
      </w:r>
      <w:r>
        <w:t xml:space="preserve">420.012.</w:t>
      </w:r>
      <w:r xml:space="preserve">
        <w:t> </w:t>
      </w:r>
      <w:r xml:space="preserve">
        <w:t> </w:t>
      </w:r>
      <w:r>
        <w:t xml:space="preserve">CONSULTATIONS.  In implementing this chapter, the attorney general shall consult </w:t>
      </w:r>
      <w:r>
        <w:rPr>
          <w:u w:val="single"/>
        </w:rPr>
        <w:t xml:space="preserve">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sexual assault coalitions;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agencies, task forces, and councils that have duties relating to the prevention, investigation, or prosecution of sexual assault or other sex offenses or services provided to survivors;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forensic science experts;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individuals</w:t>
      </w:r>
      <w:r>
        <w:t xml:space="preserve"> </w:t>
      </w:r>
      <w:r>
        <w:t xml:space="preserve">[</w:t>
      </w:r>
      <w:r>
        <w:rPr>
          <w:strike/>
        </w:rPr>
        <w:t xml:space="preserve">persons</w:t>
      </w:r>
      <w:r>
        <w:t xml:space="preserve">] and organizations having knowledge and experience relating to </w:t>
      </w:r>
      <w:r>
        <w:rPr>
          <w:u w:val="single"/>
        </w:rPr>
        <w:t xml:space="preserve">the issues of</w:t>
      </w:r>
      <w:r>
        <w:t xml:space="preserve"> </w:t>
      </w:r>
      <w:r>
        <w:t xml:space="preserve">sexual assault </w:t>
      </w:r>
      <w:r>
        <w:rPr>
          <w:u w:val="single"/>
        </w:rPr>
        <w:t xml:space="preserve">and other sex offenses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420.031(c),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In developing the evidence collection kit and protocol, the attorney general shall consult with </w:t>
      </w:r>
      <w:r>
        <w:rPr>
          <w:u w:val="single"/>
        </w:rPr>
        <w:t xml:space="preserve">the</w:t>
      </w:r>
      <w:r>
        <w:t xml:space="preserve"> individuals and organizations </w:t>
      </w:r>
      <w:r>
        <w:rPr>
          <w:u w:val="single"/>
        </w:rPr>
        <w:t xml:space="preserve">listed in Section 420.012</w:t>
      </w:r>
      <w:r>
        <w:t xml:space="preserve"> </w:t>
      </w:r>
      <w:r>
        <w:t xml:space="preserve">[</w:t>
      </w:r>
      <w:r>
        <w:rPr>
          <w:strike/>
        </w:rPr>
        <w:t xml:space="preserve">having knowledge and experience in the issues of sexual assault and other sex offenses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772, Government Code, is amended by adding Section 772.0064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772.0064.</w:t>
      </w:r>
      <w:r>
        <w:rPr>
          <w:u w:val="single"/>
        </w:rPr>
        <w:t xml:space="preserve"> </w:t>
      </w:r>
      <w:r>
        <w:rPr>
          <w:u w:val="single"/>
        </w:rPr>
        <w:t xml:space="preserve"> </w:t>
      </w:r>
      <w:r>
        <w:rPr>
          <w:u w:val="single"/>
        </w:rPr>
        <w:t xml:space="preserve">SEXUAL ASSAULT SURVIVORS' TASK FORCE.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"Sexual assault," "sexual assault nurse examiner,"</w:t>
      </w:r>
      <w:r>
        <w:rPr>
          <w:u w:val="single"/>
        </w:rPr>
        <w:t xml:space="preserve"> </w:t>
      </w:r>
      <w:r>
        <w:rPr>
          <w:u w:val="single"/>
        </w:rPr>
        <w:t xml:space="preserve">and "survivor"</w:t>
      </w:r>
      <w:r>
        <w:rPr>
          <w:u w:val="single"/>
        </w:rPr>
        <w:t xml:space="preserve"> </w:t>
      </w:r>
      <w:r>
        <w:rPr>
          <w:u w:val="single"/>
        </w:rPr>
        <w:t xml:space="preserve">have the meanings assigned by Section 420.003.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"Task force"</w:t>
      </w:r>
      <w:r>
        <w:rPr>
          <w:u w:val="single"/>
        </w:rPr>
        <w:t xml:space="preserve"> </w:t>
      </w:r>
      <w:r>
        <w:rPr>
          <w:u w:val="single"/>
        </w:rPr>
        <w:t xml:space="preserve">means the Sexual Assault Survivors'</w:t>
      </w:r>
      <w:r>
        <w:rPr>
          <w:u w:val="single"/>
        </w:rPr>
        <w:t xml:space="preserve"> </w:t>
      </w:r>
      <w:r>
        <w:rPr>
          <w:u w:val="single"/>
        </w:rPr>
        <w:t xml:space="preserve">Task Force.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shall establish the Sexual Assault Survivors'</w:t>
      </w:r>
      <w:r>
        <w:rPr>
          <w:u w:val="single"/>
        </w:rPr>
        <w:t xml:space="preserve"> </w:t>
      </w:r>
      <w:r>
        <w:rPr>
          <w:u w:val="single"/>
        </w:rPr>
        <w:t xml:space="preserve">Task Force within the criminal justice division established under Section 772.006.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task force shall include a steering committee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or the governor's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president of the state sexual assault coalition, as defined by Section 420.003, or the president's designee;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president of the statewide organization described by Section 264.409, Family Code, or the president's designee.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task force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or the governor's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representative of each state agency that has duties relating to the prevention, investigation, or prosecution of sexual assault or other sex offenses or provides services to survivors,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office of the attorney general;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member of the senate, appointed by the lieutenant governor, or the member's designee;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member of the house of representatives, appointed by the speaker of the house, or the member's designee;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executive director of the Texas Commission on Law Enforcement or the executive director's designee;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presiding officer of the Texas Forensic Science Commission or the presiding officer's designee;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division director of the law enforcement support division of the Texas Department of Public Safety with authority over the Crime Laboratory Service or the division director's designee;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president of the Texas Association of Crime Laboratory Directors or the president's designee;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president of the Texas District and County Attorney's Association or the president's designee;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president of the Texas Society of Pathologists or the president's designee;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president of the International Association of Forensic Nurses Texas Chapter or the president's designee;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president of the statewide organization described by Section 264.409, Family Code, or the president's designee;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president of the state sexual assault coalition, as defined by Section 420.003, or the president's designee;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representative from a law enforcement agency appointed by the steering committee described by Subsection (c);</w:t>
      </w:r>
      <w:r>
        <w:t xml:space="preserve"> </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 sexual assault nurse examiner appointed by the steering committee described by Subsection (c) to represent the interests of health care facilities that perform sexual assault forensic exams;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other members deemed appropriate by the steering committee described by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appointed member serves at the pleasure of the official who appointed the member.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governor is the presiding officer of the task force.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task force shall meet at the call of the governor.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steering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within the task force: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working group focusing on survivors who are children;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working group focusing on survivors who are adults;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the task force identifies systemic issues and solutions pertaining to survivors of all ages;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the task force does not unnecessarily duplicate existing standards, information, and protocol in preventing, investigating, prosecuting, and responding to sexual assault and other sex offenses;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review and approve all task force reports, recommendations, resources, protocols, advice, and other information before release.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policy recommendations to allow the state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effectively coordinate funding for services to child and adult survivors;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better prevent, investigate, and prosecute incidents of sexual assault and other sex offenses;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communication and cooperation between state agencies that have duties relating to the prevention, investigation, or prosecution of sexual assault or other sex offenses or services provided to survivors in order to identify and coordinate state resources available for assisting survivors;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collect, analyze, and make publicly available information, organized by council of governments region, regarding the prevention, investigation, and prosecution of sexual assault and other sex offenses and services provided to survivors, including a list of SAFE-ready facilities designated under Section 323.0015, Health and Safety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and periodically update recommendations regarding the collection, preservation, tracking, analysis, and destruction of evidence in cases of sexual assault or other sex offenses, including recommendations: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attorney general regarding: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evidence collection kits for use in the collection and preservation of evidence of sexual assault or other sex offenses;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protocols for the collection and preservation of evidence of sexual assault or other sex offenses;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curriculum for training programs on collecting and preserving evidence of sexual assault and other sex offenses;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requirements for certification of sexual assault nurse examiners;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other appropriate individuals or organizations, regarding: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procedures for obtaining patient authorization for forensic medical examinations of child and adult survivors under Articles 56.06 and 56.065, Code of Criminal Procedure;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requirements for maintaining an appropriate evidentiary chain of custody;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identification and reporting of untested evidence throughout the state;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standards for the submission of evidence to forensic laboratories for analysis, including procedures for submitting evidence in cases for which no evidence has been previously submitted or tested;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advise and provide resources to the Texas Commission on Law Enforcement and other law enforcement organizations to improve law enforcement officer training related to the investigation and documentation of cases involving sexual assault and other sex offenses, with a focus on the interactions between law enforcement officers and survivors;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to law enforcement agencies, prosecutors, and judges with jurisdiction over sexual assault or other sex offense cases information and resources to maximize effective and empathetic investigation, prosecution, and hearings, including information and resources: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regarding trauma-informed practices and the dynamics and effects of sexual assault and other sex offenses on child and adult survivors;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intended to improve the understanding of and the response to sexual assault or other sex offenses;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regarding best practices in the investigation and prosecution of sexual assault or other sex offenses;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judges regarding common issues in the criminal trials of sexual assault and other sex offenses;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biennially contract for a survey of the resources provided to survivors by nonprofit organizations, health care facilities, institutions of higher education, sexual assault response teams, and other governmental entities in each region of the state;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make recommendations as necessary to improve the collecting and reporting of data on the investigation and prosecution of sexual assault and other sex offenses;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develop a statewide standard for best practices in the funding and provision of services to survivors by nonprofit organizations, health care facilities, institutions of higher education, sexual assault response teams, and other governmental entities.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November 1 of each even-numbered year, the task force shall analyze the data from the survey performed under Subsection (i), prepare a report, or contract with a private entity for the preparation of a report, and submit to the legislature the report, which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resources provided to child and adult survivors by nonprofit organizations, health care facilities, institutions of higher education, sexual assault response teams, and governmental entities in each region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differences between the resources provided to both child and adult survivors and the statewide standard, comparable by region and by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recommendations on measures the state and each region could take to better comply with the statewide standard;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potential sources and mechanisms of funding available to implement the recommendations;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recommendations for accomplishing policy goals.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To the extent possible, all recommendations, standards, and resource information provided by the task force must be evidence-based and consistent with standards of practice and care in this state and throughout the country.</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task force shall use any available federal or state funding for the purposes of this 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This section expires September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1701.253, Occupations Code, is amended by adding Subsections (b-1) and (b-2)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 shall consult with the Sexual Assault Survivors' Task Force established under Section 772.0064, Government Code, regarding minimum curriculum requirements for training in the investigation and documentation of cases that involve sexual assault or other sex offenses.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This subsection and Subsection (b-1) expire September 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governor shall establish the Sexual Assault Survivors' Task Force and the steering committee, the lieutenant governor, and the speaker of the house shall appoint members as required by Section 772.0064, Government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