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w:t>
      </w:r>
      <w:r>
        <w:rPr>
          <w:u w:val="single"/>
        </w:rPr>
        <w:t xml:space="preserve">the Texas State University System, the University of Houston System, Stephen F. Austin State University,</w:t>
      </w:r>
      <w:r>
        <w:t xml:space="preserve">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Texas State University System, the board of regents of the University of Houston System, the board of regents of Stephen F. Austin State University,</w:t>
      </w:r>
      <w:r>
        <w:t xml:space="preserve">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w:t>
      </w:r>
      <w:r>
        <w:rPr>
          <w:u w:val="single"/>
        </w:rPr>
        <w:t xml:space="preserve">the Texas State University System, the University of Houston System, Stephen F. Austin State University,</w:t>
      </w:r>
      <w:r>
        <w:t xml:space="preserve"> </w:t>
      </w:r>
      <w:r>
        <w:t xml:space="preserve">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w:t>
      </w:r>
      <w:r>
        <w:rPr>
          <w:u w:val="single"/>
        </w:rPr>
        <w:t xml:space="preserve">the Texas State University System, the University of Houston System, Stephen F. Austin State University,</w:t>
      </w:r>
      <w:r>
        <w:t xml:space="preserve"> </w:t>
      </w:r>
      <w:r>
        <w:t xml:space="preserve">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1592 was passed by the House on April 10, 2019,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1592 was passed by the Senate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