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86R5775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State Guard uniform and insignia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437.310(b),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fund consists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donations made to the fund;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revenue received by the Texas State Guard from the sale of uniforms and insignia to members of the guard;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depository interest and investment income earned on money in the fund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appropriated, credited, or transferred to the fund by the legislature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