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 Buckley</w:t>
      </w:r>
      <w:r>
        <w:t xml:space="preserve"> (Senate Sponsor</w:t>
      </w:r>
      <w:r xml:space="preserve">
        <w:t> </w:t>
      </w:r>
      <w:r>
        <w:t xml:space="preserve">-</w:t>
      </w:r>
      <w:r xml:space="preserve">
        <w:t> </w:t>
      </w:r>
      <w:r>
        <w:t xml:space="preserve">Buckingham)</w:t>
      </w:r>
      <w:r xml:space="preserve">
        <w:tab wTab="150" tlc="none" cTlc="0"/>
      </w:r>
      <w:r>
        <w:t xml:space="preserve">H.B.</w:t>
      </w:r>
      <w:r xml:space="preserve">
        <w:t> </w:t>
      </w:r>
      <w:r>
        <w:t xml:space="preserve">No.</w:t>
      </w:r>
      <w:r xml:space="preserve">
        <w:t> </w:t>
      </w:r>
      <w:r>
        <w:t xml:space="preserve">1597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16,</w:t>
      </w:r>
      <w:r xml:space="preserve">
        <w:t> </w:t>
      </w:r>
      <w:r>
        <w:t xml:space="preserve">2019, read first time and referred to Committee on Education; May</w:t>
      </w:r>
      <w:r xml:space="preserve">
        <w:t> </w:t>
      </w:r>
      <w:r>
        <w:t xml:space="preserve">10,</w:t>
      </w:r>
      <w:r xml:space="preserve">
        <w:t> </w:t>
      </w:r>
      <w:r>
        <w:t xml:space="preserve">2019, reported favorably by the following vote:</w:t>
      </w:r>
      <w:r>
        <w:t xml:space="preserve"> </w:t>
      </w:r>
      <w:r>
        <w:t xml:space="preserve"> </w:t>
      </w:r>
      <w:r>
        <w:t xml:space="preserve">Yeas</w:t>
      </w:r>
      <w:r xml:space="preserve">
        <w:t> </w:t>
      </w:r>
      <w:r>
        <w:t xml:space="preserve">11, Nays</w:t>
      </w:r>
      <w:r xml:space="preserve">
        <w:t> </w:t>
      </w:r>
      <w:r>
        <w:t xml:space="preserve">0; May</w:t>
      </w:r>
      <w:r xml:space="preserve">
        <w:t> </w:t>
      </w:r>
      <w:r>
        <w:t xml:space="preserve">10,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establishing residency for purposes of admission into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25.001, Education Code, is amended by adding Subsections (c-1) and (c-2)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person whose parent or guardian is an active-duty member of the armed forces of the United States, including the state military forces or a reserve component of the armed forces, may establish residency for purposes of Subsection (b) by providing to the school district a copy of a military order requiring the parent's or guardian's transfer to a military installation in or adjacent to the district's attendance zone.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person who establishes residency as provided by Subsection (c-1) shall provide to the school district proof of residence in the district's attendance zone not later than the 10th day after the arrival date specified in the order described by that subsection. For purposes of this subsection, "residence" includes residence in a military temporary lodging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12.104(b), Education Code, as amended by Chapters 324 (S.B. 1488), 522 (S.B. 179), and 735 (S.B. 1153),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 [</w:t>
      </w:r>
      <w:r>
        <w:rPr>
          <w:strike/>
        </w:rPr>
        <w:t xml:space="preserve">and</w:t>
      </w:r>
      <w:r>
        <w:t xml:space="preserve">]</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r>
        <w:rPr>
          <w:u w:val="single"/>
        </w:rPr>
        <w:t xml:space="preserve">;</w:t>
      </w:r>
    </w:p>
    <w:p w:rsidR="003F3435" w:rsidRDefault="0032493E">
      <w:pPr>
        <w:spacing w:line="480" w:lineRule="auto"/>
        <w:ind w:firstLine="2160"/>
        <w:jc w:val="both"/>
      </w:pPr>
      <w:r>
        <w:rPr>
          <w:u w:val="single"/>
        </w:rPr>
        <w:t xml:space="preserve">(S)</w:t>
      </w:r>
      <w:r xml:space="preserve">
        <w:t> </w:t>
      </w:r>
      <w:r>
        <w:t xml:space="preserve">[</w:t>
      </w:r>
      <w:r>
        <w:rPr>
          <w:strike/>
        </w:rPr>
        <w:t xml:space="preserve">(P)</w:t>
      </w:r>
      <w:r>
        <w:t xml:space="preserve">]</w:t>
      </w:r>
      <w:r xml:space="preserve">
        <w:t> </w:t>
      </w:r>
      <w:r xml:space="preserve">
        <w:t> </w:t>
      </w:r>
      <w:r>
        <w:t xml:space="preserve">a parent's right to information regarding the provision of assistance for learning difficulties to the parent's child as provided by Sections 26.004(b)(11) and 26.0081(c) and (d)</w:t>
      </w:r>
      <w:r>
        <w:rPr>
          <w:u w:val="single"/>
        </w:rPr>
        <w:t xml:space="preserve">; and</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establishment of residency under Section 25.001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