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personal bond of a person who is pregnant.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17.034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17.034.</w:t>
      </w:r>
      <w:r>
        <w:rPr>
          <w:u w:val="single"/>
        </w:rPr>
        <w:t xml:space="preserve"> </w:t>
      </w:r>
      <w:r>
        <w:rPr>
          <w:u w:val="single"/>
        </w:rPr>
        <w:t xml:space="preserve"> </w:t>
      </w:r>
      <w:r>
        <w:rPr>
          <w:u w:val="single"/>
        </w:rPr>
        <w:t xml:space="preserve">RELEASE ON PERSONAL BOND OF PREGNANT DEFENDANT.  A magistrate shall release a defendant on personal bond without sureties or other security if the defendant is pregnant, unless good cause is shown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