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86R6176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regulation in the unincorporated area of a county of high-speed rail activity near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112, Transportation Code, is amended by adding Section 112.104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REGULATION OF HIGH-SPEED RAIL ACTIVITY NEAR SCHOOLS. In the interest of safety, a county by order may regulate operations and activities in the unincorporated area of the county related to high-speed rail, as defined by Section 112.201, that occur within five miles of the campus of an elementary or secondary school, day-care center, preschool, or institution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