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86R20090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1619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1619:</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reporters and shorthand reporting firms; imposing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DUTIES OF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ITEMIZED STATEMENT OF TAXABLE COSTS.  A court reporting firm on request shall provide to a court reporter who prepares a deposition transcript an itemized statement of the charges that constitute the amount stated on the court reporter's certificate filed with the court as part of the deposition as required by Rule 203, Texas Rules of Civil Procedure, that the court clerk must tax as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court reporter</w:t>
      </w:r>
      <w:r>
        <w:t xml:space="preserve"> by the supreme court.  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154, Government Code, is amended by adding Sections 154.1011 and 154.1012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  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154.1012(f),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154.1012.</w:t>
      </w:r>
      <w:r>
        <w:rPr>
          <w:u w:val="single"/>
        </w:rPr>
        <w:t xml:space="preserve"> </w:t>
      </w:r>
      <w:r>
        <w:rPr>
          <w:u w:val="single"/>
        </w:rPr>
        <w:t xml:space="preserve"> </w:t>
      </w:r>
      <w:r>
        <w:rPr>
          <w:u w:val="single"/>
        </w:rPr>
        <w:t xml:space="preserve">RECIPROCITY.  (a)  The commission may waive any prerequisite to obtaining a court reporter certification or a shorthand reporting firm registration for an applicant after reviewing the applicant's credentials and determining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registration, or licensing requirements for court reporters and shorthand reporting firms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registration,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registration, or licensing requirements to engage in court reporting that are substantially equivalent to the requirements of this state for a court reporter governed by this chapter and Chapter 52;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Section 152.202(b) must require an applicant who holds a certification, registration,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registration,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w:t xml:space="preserve">  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154, Government Code, is amended by adding Section 154.108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154.108.</w:t>
      </w:r>
      <w:r>
        <w:rPr>
          <w:u w:val="single"/>
        </w:rPr>
        <w:t xml:space="preserve"> </w:t>
      </w:r>
      <w:r>
        <w:rPr>
          <w:u w:val="single"/>
        </w:rPr>
        <w:t xml:space="preserve"> </w:t>
      </w:r>
      <w:r>
        <w:rPr>
          <w:u w:val="single"/>
        </w:rPr>
        <w:t xml:space="preserve">CONTINUING EDUCATION.  Subject to Section 152.101,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Each day of violation constitutes a separate offense.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154.115(b),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In developing rules under Sections 154.1011 and 154.111(g), Government Code, as added by this Act,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(b)</w:t>
      </w:r>
      <w:r xml:space="preserve">
        <w:t> </w:t>
      </w:r>
      <w:r xml:space="preserve">
        <w:t> </w:t>
      </w:r>
      <w:r>
        <w:t xml:space="preserve">Not later than June 1, 2020, the Judicial Branch Certification Commission shall develop the list required by Section 154.1012(b), Government Code, as added by this Act.</w:t>
      </w:r>
    </w:p>
    <w:p w:rsidR="003F3435" w:rsidRDefault="0032493E">
      <w:pPr>
        <w:spacing w:line="480" w:lineRule="auto"/>
        <w:ind w:firstLine="720"/>
        <w:jc w:val="both"/>
      </w:pPr>
      <w:r>
        <w:t xml:space="preserve">(c)</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Supreme Court of Texas or the court's designee.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