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86R7410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1625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criminal offense of false report of misconduct by emergency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37, Penal Code, is amended by adding Section 37.082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37.082.</w:t>
      </w:r>
      <w:r>
        <w:rPr>
          <w:u w:val="single"/>
        </w:rPr>
        <w:t xml:space="preserve"> </w:t>
      </w:r>
      <w:r>
        <w:rPr>
          <w:u w:val="single"/>
        </w:rPr>
        <w:t xml:space="preserve"> </w:t>
      </w:r>
      <w:r>
        <w:rPr>
          <w:u w:val="single"/>
        </w:rPr>
        <w:t xml:space="preserve">FALSE REPORT OF MISCONDUCT BY EMERGENCY RESPONDER.  (a) </w:t>
      </w:r>
      <w:r>
        <w:rPr>
          <w:u w:val="single"/>
        </w:rPr>
        <w:t xml:space="preserve"> </w:t>
      </w:r>
      <w:r>
        <w:rPr>
          <w:u w:val="single"/>
        </w:rPr>
        <w:t xml:space="preserve">In this section, "emergency services personnel" has the meaning assigned by Section 22.01.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with the intent to deceive,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makes a false report that a peace officer or emergency services personnel, while performing official duties, engaged in conduct that violates a law of this state, another state, or the United States or conduct that violates any applicable internal policy or code of conduct of the law enforcement agency or emergency services provider employing or supervising the officer or personnel;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the report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law enforcement agency for the purpose of initiating a criminal investigation against the officer or personnel;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law enforcement agency or emergency services provider described by Subdivision (1) for the purpose of initiating administrative or other disciplinary action against the officer or personnel.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if it is shown on the trial of the offense that the false report consisted of an allegation of conduct that violates a penal law of this state, the greater of one category of offense lower than the most serious offense falsely reported or a Class A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A misdemeanor if it is shown on the trial of the offense that the false report consisted of an allegation of conduct that violates a law of this state, another state, or the United States, other than a penal law of this state, or violates an internal policy or code of conduct of the applicable law enforcement agency or emergency services provider.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