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86R3555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Morrison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removal of certain counties from the Texas emissions reduction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386.001(2), Health and Safety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"Affected county" includes: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Bastrop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Bexar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Caldwell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Comal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Ellis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Gregg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Guadalupe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Harrison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Hays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Henderson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Hood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Hunt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Johnson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Kaufman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Nueces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Parker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Rockwall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Rusk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(S)</w:t>
      </w:r>
      <w:r xml:space="preserve">
        <w:t> </w:t>
      </w:r>
      <w:r xml:space="preserve">
        <w:t> </w:t>
      </w:r>
      <w:r>
        <w:t xml:space="preserve">San Patricio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(T)</w:t>
      </w:r>
      <w:r xml:space="preserve">
        <w:t> </w:t>
      </w:r>
      <w:r xml:space="preserve">
        <w:t> </w:t>
      </w:r>
      <w:r>
        <w:t xml:space="preserve">Smith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(U)</w:t>
      </w:r>
      <w:r xml:space="preserve">
        <w:t> </w:t>
      </w:r>
      <w:r xml:space="preserve">
        <w:t> </w:t>
      </w:r>
      <w:r>
        <w:t xml:space="preserve">Travis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Upshur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(W)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Victoria County;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(X)</w:t>
      </w:r>
      <w:r>
        <w:t xml:space="preserve">]</w:t>
      </w:r>
      <w:r xml:space="preserve">
        <w:t> </w:t>
      </w:r>
      <w:r xml:space="preserve">
        <w:t> </w:t>
      </w:r>
      <w:r>
        <w:t xml:space="preserve">Williamson County;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(X)</w:t>
      </w:r>
      <w:r xml:space="preserve">
        <w:t> </w:t>
      </w:r>
      <w:r>
        <w:t xml:space="preserve">[</w:t>
      </w:r>
      <w:r>
        <w:rPr>
          <w:strike/>
        </w:rPr>
        <w:t xml:space="preserve">(Y)</w:t>
      </w:r>
      <w:r>
        <w:t xml:space="preserve">]</w:t>
      </w:r>
      <w:r xml:space="preserve">
        <w:t> </w:t>
      </w:r>
      <w:r xml:space="preserve">
        <w:t> </w:t>
      </w:r>
      <w:r>
        <w:t xml:space="preserve">Wilson County;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(Y)</w:t>
      </w:r>
      <w:r xml:space="preserve">
        <w:t> </w:t>
      </w:r>
      <w:r>
        <w:t xml:space="preserve">[</w:t>
      </w:r>
      <w:r>
        <w:rPr>
          <w:strike/>
        </w:rPr>
        <w:t xml:space="preserve">(Z)</w:t>
      </w:r>
      <w:r>
        <w:t xml:space="preserve">]</w:t>
      </w:r>
      <w:r xml:space="preserve">
        <w:t> </w:t>
      </w:r>
      <w:r xml:space="preserve">
        <w:t> </w:t>
      </w:r>
      <w:r>
        <w:t xml:space="preserve">any other county designated as an affected county by commission rule because of deteriorating air quality.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