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removal of certain counties from the Texas emissions reduction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"Affected county"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Bastrop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Bexar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Caldwell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Comal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Ellis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Gregg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Guadalupe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Harrison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Hays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Henderson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Hood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Hunt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Johnson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Kaufman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Nueces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Parker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Rockwall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Rusk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San Patricio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Smith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Travis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Upshur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Victoria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Williamson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Wilson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county designated as an affected county by commission rule because of deteriorating air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