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Stickland, Collier, Burrows,</w:t>
      </w:r>
      <w:r xml:space="preserve">
        <w:tab wTab="150" tlc="none" cTlc="0"/>
      </w:r>
      <w:r>
        <w:t xml:space="preserve">H.B.</w:t>
      </w:r>
      <w:r xml:space="preserve">
        <w:t> </w:t>
      </w:r>
      <w:r>
        <w:t xml:space="preserve">No.</w:t>
      </w:r>
      <w:r xml:space="preserve">
        <w:t> </w:t>
      </w:r>
      <w:r>
        <w:t xml:space="preserve">1631</w:t>
      </w:r>
    </w:p>
    <w:p w:rsidR="003F3435" w:rsidRDefault="0032493E">
      <w:pPr>
        <w:jc w:val="both"/>
      </w:pPr>
      <w:r xml:space="preserve">
        <w:t> </w:t>
      </w:r>
      <w:r xml:space="preserve">
        <w:t> </w:t>
      </w:r>
      <w:r xml:space="preserve">
        <w:t> </w:t>
      </w:r>
      <w:r xml:space="preserve">
        <w:t> </w:t>
      </w:r>
      <w:r xml:space="preserve">
        <w:t> </w:t>
      </w:r>
      <w:r>
        <w:t xml:space="preserve">Thompson of Harris, et al.</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