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86R21472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VanDeaver,</w:t>
      </w:r>
      <w:r xml:space="preserve">
        <w:tab wTab="150" tlc="none" cTlc="0"/>
      </w:r>
      <w:r>
        <w:t xml:space="preserve">H.B.</w:t>
      </w:r>
      <w:r xml:space="preserve">
        <w:t> </w:t>
      </w:r>
      <w:r>
        <w:t xml:space="preserve">No.</w:t>
      </w:r>
      <w:r xml:space="preserve">
        <w:t> </w:t>
      </w:r>
      <w:r>
        <w:t xml:space="preserve">1632</w:t>
      </w:r>
    </w:p>
    <w:p w:rsidR="003F3435" w:rsidRDefault="0032493E">
      <w:pPr>
        <w:jc w:val="both"/>
      </w:pPr>
      <w:r xml:space="preserve">
        <w:t> </w:t>
      </w:r>
      <w:r xml:space="preserve">
        <w:t> </w:t>
      </w:r>
      <w:r xml:space="preserve">
        <w:t> </w:t>
      </w:r>
      <w:r xml:space="preserve">
        <w:t> </w:t>
      </w:r>
      <w:r xml:space="preserve">
        <w:t> </w:t>
      </w:r>
      <w:r>
        <w:t xml:space="preserve">González of El Paso, Meyer, Bernal,</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students eligible to receive compensatory, intensive, and accelerated instructional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 as defined by 42 U.S.C. Section 11302, and its subsequent amendments;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has dyslexia or a related disorder;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is educationally disadvantaged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33.151(4), Education Code, is amended to read as follows:</w:t>
      </w:r>
    </w:p>
    <w:p w:rsidR="003F3435" w:rsidRDefault="0032493E">
      <w:pPr>
        <w:spacing w:line="480" w:lineRule="auto"/>
        <w:ind w:firstLine="1440"/>
        <w:jc w:val="both"/>
      </w:pPr>
      <w:r>
        <w:t xml:space="preserve">(4)</w:t>
      </w:r>
      <w:r xml:space="preserve">
        <w:t> </w:t>
      </w:r>
      <w:r xml:space="preserve">
        <w:t> </w:t>
      </w:r>
      <w:r>
        <w:t xml:space="preserve">"Student at risk of dropping out of school" means:</w:t>
      </w:r>
    </w:p>
    <w:p w:rsidR="003F3435" w:rsidRDefault="0032493E">
      <w:pPr>
        <w:spacing w:line="480" w:lineRule="auto"/>
        <w:ind w:firstLine="2160"/>
        <w:jc w:val="both"/>
      </w:pPr>
      <w:r>
        <w:t xml:space="preserve">(A)</w:t>
      </w:r>
      <w:r xml:space="preserve">
        <w:t> </w:t>
      </w:r>
      <w:r xml:space="preserve">
        <w:t> </w:t>
      </w:r>
      <w:r>
        <w:t xml:space="preserve">a student at risk of dropping out of school as defined by Section 29.081;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 student who is eligible for a free or reduced lunch;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 student who is in family conflict or crisis.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