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86R25932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imposition and rate of the county hotel occupancy tax in certain counties; authorizing the imposition of a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352.002, Tax Code, is amended by adding Subsection (z)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(z)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with a population of not more than 50,000 and in which an annual peanut festival is held may impose a tax as provided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352.003, Tax Code, is amended by adding Subsection (w)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(w)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rate in a county authorized to impose the tax under Section 352.002(z) may not exceed seven percent of the price paid for a room in a hotel, except that the tax rate may not exceed two percent of the price paid for a room in a hotel if the hotel is located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that imposes a tax under Chapter 351 applicable to the hotel;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extraterritorial jurisdiction of a municipality that imposes a tax under Section 351.0025 applicable to the hotel.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