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1633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imposition and rate of the county hotel occupancy tax in certain counties; authorizing the imposition of a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(z)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(z)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not more than 50,000 and in which an annual peanut festival is held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(w)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(w)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352.002(z) may not exceed seven percent of the price paid for a room in a hotel, except that the tax rate may not exceed two percent of the price paid for a room in a hotel if the hotel is located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that imposes a tax under Chapter 351 applicable to the hotel;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extraterritorial jurisdiction of a municipality that imposes a tax under Section 351.0025 applicable to the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1633 was passed by the House on May 3, 2019, by the following vote:</w:t>
      </w:r>
      <w:r xml:space="preserve">
        <w:t> </w:t>
      </w:r>
      <w:r xml:space="preserve">
        <w:t> </w:t>
      </w:r>
      <w:r>
        <w:t xml:space="preserve">Yeas 107, Nays 33,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1633 was passed by the Senate on May 19, 2019, by the following vote:</w:t>
      </w:r>
      <w:r xml:space="preserve">
        <w:t> </w:t>
      </w:r>
      <w:r xml:space="preserve">
        <w:t> </w:t>
      </w:r>
      <w:r>
        <w:t xml:space="preserve">Yeas 23, Nays 8.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