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86R25932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1633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1633: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1633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imposition and rate of the county hotel occupancy tax in certain counties; authorizing the imposition of a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(z)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(z)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not more than 50,000 and in which an annual peanut festival is held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(w)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(w)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352.002(z) may not exceed seven percent of the price paid for a room in a hotel, except that the tax rate may not exceed two percent of the price paid for a room in a hotel if the hotel is located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imposes a tax under Chapter 351 applicable to the hotel;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extraterritorial jurisdiction of a municipality that imposes a tax under Section 351.0025 applicable to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