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86R6046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impose a hotel occupancy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352.002, Tax Code, is amended by adding Subsection (z)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(z)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with a population of not more than 50,000 and in which an annual peanut festival is held may impose a tax as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