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86R25945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Kuempel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imposition and rate of the county hotel occupancy tax in certain counties; authorizing the imposition of a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352.002, Tax Code, is amended by adding Subsection (y)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(y)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a county with a population of 110,000 or more through which the Guadalupe River flows may impose a tax as provided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352.003, Tax Code, is amended by adding Subsection (v)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 rate in a county authorized to impose the tax under Section 352.002(y) may not exceed seven percent of the price paid for a room in a hotel, except that the tax rate may not exceed two percent of the price paid for a room in a hotel if the hotel is located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that imposes a tax under Chapter 351 applicable to the hotel;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extraterritorial jurisdiction of a municipality that imposes a tax under Section 351.0025 applicable to the hotel.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