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86R25945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1634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1634: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1634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imposition and rate of the county hotel occupancy tax in certain counties; authorizing the imposition of a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(y)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(y)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with a population of 110,000 or more through which the Guadalupe River flows may impose a tax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352.003, Tax Code, is amended by adding Subsection (v)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rate in a county authorized to impose the tax under Section 352.002(y) may not exceed seven percent of the price paid for a room in a hotel, except that the tax rate may not exceed two percent of the price paid for a room in a hotel if the hotel is located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imposes a tax under Chapter 351 applicable to the hotel;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extraterritorial jurisdiction of a municipality that imposes a tax under Section 351.0025 applicable to the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1634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