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86R3346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counties to impose a hotel occupancy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(y)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(y)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110,000 or more through which the Guadalupe River flows may impose a tax as provided by Subsection (a).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