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1634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Natural Resources &amp; Economic Development;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10, Nays</w:t>
      </w:r>
      <w:r xml:space="preserve">
        <w:t> </w:t>
      </w:r>
      <w:r>
        <w:t xml:space="preserve">0, 1</w:t>
      </w:r>
      <w:r xml:space="preserve">
        <w:t> </w:t>
      </w:r>
      <w:r>
        <w:t xml:space="preserve">present not voting;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imposition and rate of the county hotel occupancy tax in certain counties; authorizing the imposition of a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(y)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(y)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110,000 or more through which the Guadalupe River flows may impose a tax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352.003, Tax Code, is amended by adding Subsection (v)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rate in a county authorized to impose the tax under Section 352.002(y) may not exceed seven percent of the price paid for a room in a hotel, except that the tax rate may not exceed two percent of the price paid for a room in a hotel if the hotel is located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imposes a tax under Chapter 351 applicable to the hotel;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extraterritorial jurisdiction of a municipality that imposes a tax under Section 351.0025 applicable to the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