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86R22298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Davis of Harris</w:t>
      </w:r>
      <w:r xml:space="preserve">
        <w:tab wTab="150" tlc="none" cTlc="0"/>
      </w:r>
      <w:r>
        <w:t xml:space="preserve">H.B.</w:t>
      </w:r>
      <w:r xml:space="preserve">
        <w:t> </w:t>
      </w:r>
      <w:r>
        <w:t xml:space="preserve">No.</w:t>
      </w:r>
      <w:r xml:space="preserve">
        <w:t> </w:t>
      </w:r>
      <w:r>
        <w:t xml:space="preserve">1647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1647:</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1647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 dental services benefit under Medicaid for adult recipients with disabilities and a pilot program to provide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32.0545.</w:t>
      </w:r>
      <w:r>
        <w:rPr>
          <w:u w:val="single"/>
        </w:rPr>
        <w:t xml:space="preserve"> </w:t>
      </w:r>
      <w:r>
        <w:rPr>
          <w:u w:val="single"/>
        </w:rPr>
        <w:t xml:space="preserve"> </w:t>
      </w:r>
      <w:r>
        <w:rPr>
          <w:u w:val="single"/>
        </w:rPr>
        <w:t xml:space="preserve">DENTAL SERVICES BENEFIT FOR CERTAIN RECIPIENTS; PILOT PROGRAM.  (a)  The commission shall develop a dental services benefit under the medical assistance program for adult recipients with disabilities.  The dental services benefit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cost-effective and designed to achieve cost savings;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designed to reduce emergency room visits by or hospitalizations of adult recipients with disabilities resulting from a lack of access to dental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designed to meet the individual needs of adult recipients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dental services benefit under this section, the commission shall evaluate dental services benefits provided under medical assistance waiver programs authorized under Section 1115 of the federal Social Security Act (42 U.S.C. Section 1315) and dental services benefits provided as a value-added service under the Medicaid managed care delivery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2020, the commission shall prepare and submit to the legislature a written report on the dental services benefit developed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establish and operate a pilot program to provide the dental services benefit developed under this section in one or more geographic areas of this state.  The pilot program must conclude not later than September 1, 2022.  If the commission establishes the pilot program under this section, the commission shall prepare and submit to the legislature a written report that summarizes the results of the pilot program not later than December 1, 2022.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