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and vehicles eligible for the light-duty motor vehicle purchase or lease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386.154, Health and Safety Code, is amended by amending Subsection (d)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new light-duty motor vehicle powered by an electric drive is eligible for a $2,500 incentive if the vehicle: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four wheels </w:t>
      </w:r>
      <w:r>
        <w:rPr>
          <w:u w:val="single"/>
        </w:rPr>
        <w:t xml:space="preserve">or is a motorcycle as defined by 541.201, Transportation Code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manufactured for use primarily on public streets, roads, and highways;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modified from the original manufacturer's specifications;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a maximum speed capability of at least 55 miles per hour;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propelled to a significant extent by an electric motor that draws electricity from a hydrogen fuel cell or from a battery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capacity of not less than four kilowatt hours;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capable of being recharged from an external source of electricity;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was acquired on or after September 1, 2013, or a later date as established by the commission, by the person applying for the incentive under this subsection and for use or lease by that person and not for resale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a motor-assisted scooter, pocket bike, or minimotorbike as those terms are defined by Section 551.351, Transportation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that receives the incentive described by Subsection (d) shall remit $750 to the comptroller to deposit to the credit of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