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86R7622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 Hunter</w:t>
      </w:r>
      <w:r xml:space="preserve">
        <w:tab wTab="150" tlc="none" cTlc="0"/>
      </w:r>
      <w:r>
        <w:t xml:space="preserve">H.B.</w:t>
      </w:r>
      <w:r xml:space="preserve">
        <w:t> </w:t>
      </w:r>
      <w:r>
        <w:t xml:space="preserve">No.</w:t>
      </w:r>
      <w:r xml:space="preserve">
        <w:t> </w:t>
      </w:r>
      <w:r>
        <w:t xml:space="preserve">1660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peace officer training on recognizing and recording circumstances that indicate strangulation in certain cases.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1701.253(d),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1701.352(f), Occupations Code, is amended to read as follows:</w:t>
      </w:r>
    </w:p>
    <w:p w:rsidR="003F3435" w:rsidRDefault="0032493E">
      <w:pPr>
        <w:spacing w:line="480" w:lineRule="auto"/>
        <w:ind w:firstLine="720"/>
        <w:jc w:val="both"/>
      </w:pPr>
      <w:r>
        <w:t xml:space="preserve">(f)</w:t>
      </w:r>
      <w:r xml:space="preserve">
        <w:t> </w:t>
      </w:r>
      <w:r xml:space="preserve">
        <w:t> </w:t>
      </w:r>
      <w:r>
        <w:t xml:space="preserve">Training in documentation of cases required by Subsection (b) shall include instruction in:</w:t>
      </w:r>
    </w:p>
    <w:p w:rsidR="003F3435" w:rsidRDefault="0032493E">
      <w:pPr>
        <w:spacing w:line="480" w:lineRule="auto"/>
        <w:ind w:firstLine="1440"/>
        <w:jc w:val="both"/>
      </w:pPr>
      <w:r>
        <w:t xml:space="preserve">(1)</w:t>
      </w:r>
      <w:r xml:space="preserve">
        <w:t> </w:t>
      </w:r>
      <w:r xml:space="preserve">
        <w:t> </w:t>
      </w:r>
      <w:r>
        <w:t xml:space="preserve">making a written account of the extent of injuries sustained by the victim of an alleged offense;</w:t>
      </w:r>
    </w:p>
    <w:p w:rsidR="003F3435" w:rsidRDefault="0032493E">
      <w:pPr>
        <w:spacing w:line="480" w:lineRule="auto"/>
        <w:ind w:firstLine="1440"/>
        <w:jc w:val="both"/>
      </w:pPr>
      <w:r>
        <w:t xml:space="preserve">(2)</w:t>
      </w:r>
      <w:r xml:space="preserve">
        <w:t> </w:t>
      </w:r>
      <w:r xml:space="preserve">
        <w:t> </w:t>
      </w:r>
      <w:r>
        <w:t xml:space="preserve">recording by photograph or videotape the area in which an alleged offense occurred and the victim's injuries;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recognizing and recording a victim's statement that may be admissible as evidence in a proceeding concerning the matter about which the statement was made</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recognizing and recording circumstances indicating that a victim may have been assaulted in the manner described by Section 22.01(b)(2)(B), Penal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Not later than January 1, 2020, the Texas Commission on Law Enforcement shall establish or modify training programs as necessary to comply with Section 1701.253, Occupations Code, as amended by this Act.</w:t>
      </w:r>
    </w:p>
    <w:p w:rsidR="003F3435" w:rsidRDefault="0032493E">
      <w:pPr>
        <w:spacing w:line="480" w:lineRule="auto"/>
        <w:ind w:firstLine="720"/>
        <w:jc w:val="both"/>
      </w:pPr>
      <w:r>
        <w:t xml:space="preserve">(b)</w:t>
      </w:r>
      <w:r xml:space="preserve">
        <w:t> </w:t>
      </w:r>
      <w:r xml:space="preserve">
        <w:t> </w:t>
      </w:r>
      <w:r>
        <w:t xml:space="preserve">The minimum curriculum requirements under Section 1701.253(d), Occupations Code, as amended by this Act, apply only to a peace officer who first begins to satisfy those requirements on or after January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