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86R19466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Longoria, Goldman</w:t>
      </w:r>
      <w:r xml:space="preserve">
        <w:tab wTab="150" tlc="none" cTlc="0"/>
      </w:r>
      <w:r>
        <w:t xml:space="preserve">H.B.</w:t>
      </w:r>
      <w:r xml:space="preserve">
        <w:t> </w:t>
      </w:r>
      <w:r>
        <w:t xml:space="preserve">No.</w:t>
      </w:r>
      <w:r xml:space="preserve">
        <w:t> </w:t>
      </w:r>
      <w:r>
        <w:t xml:space="preserve">1661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continuous violence against the family.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Rachel's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13.072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13.072.</w:t>
      </w:r>
      <w:r>
        <w:rPr>
          <w:u w:val="single"/>
        </w:rPr>
        <w:t xml:space="preserve"> </w:t>
      </w:r>
      <w:r>
        <w:rPr>
          <w:u w:val="single"/>
        </w:rPr>
        <w:t xml:space="preserve"> </w:t>
      </w:r>
      <w:r>
        <w:rPr>
          <w:u w:val="single"/>
        </w:rPr>
        <w:t xml:space="preserve">CONTINUOUS VIOLENCE AGAINST THE FAMILY COMMITTED IN MORE THAN ONE COUNTY.  An offense under Section 25.11, Penal Code, may be prosecuted in any county in which the defendant engaged in the conduct constituting an offense under Section 22.01(a)(1), Penal Code, against a person described by Section 25.11(a),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25.11(b),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jury is the trier of fact, members of the jury are not required to agree unanimously on the specific conduct in which the defendant engaged that constituted an offense under Section 22.01(a)(1) against the person or persons described by Subsection (a)</w:t>
      </w:r>
      <w:r>
        <w:rPr>
          <w:u w:val="single"/>
        </w:rPr>
        <w:t xml:space="preserve">,</w:t>
      </w:r>
      <w:r>
        <w:t xml:space="preserve"> [</w:t>
      </w:r>
      <w:r>
        <w:rPr>
          <w:strike/>
        </w:rPr>
        <w:t xml:space="preserve">or</w:t>
      </w:r>
      <w:r>
        <w:t xml:space="preserve">] the exact date when that conduct occurred</w:t>
      </w:r>
      <w:r>
        <w:rPr>
          <w:u w:val="single"/>
        </w:rPr>
        <w:t xml:space="preserve">, or the county in which each instance of the conduct occurred</w:t>
      </w:r>
      <w:r>
        <w:t xml:space="preserve">. The jury must agree unanimously that the defendant, during a period that is 12 months or less in duration, two or more times engaged in conduct that constituted an offense under Section 22.01(a)(1) against the person or persons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