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86R7074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grants awarded to reimburse counties for the cost of monitoring defendants and victims in criminal cases involving family violence.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772, Government Code, is amended by adding Section 772.0077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772.0077.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 PROGRAM FOR MONITORING DEFENDANTS AND VICTIMS IN FAMILY VIOLENCE CASES.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"Criminal justice division" means the criminal justice division established under Section 772.006.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"Family violence"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71.004, Family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shall establish and administer a grant program to reimburse counties for all or part of the costs incurred by counties as a result of monitoring in cases involving family violence defendants and victims who participate in a global positioning monitoring system under Article 17.292 or 17.49, Code of Criminal Procedure. </w:t>
      </w:r>
      <w:r>
        <w:rPr>
          <w:u w:val="single"/>
        </w:rPr>
        <w:t xml:space="preserve"> </w:t>
      </w:r>
      <w:r>
        <w:rPr>
          <w:u w:val="single"/>
        </w:rPr>
        <w:t xml:space="preserve">A grant recipient may use funds from a grant awarded under the program only for monitoring conducted for the purpose of restoring a measure of security and safety for a victim of family violence.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shall establish: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additional eligibility criteria for grant applicants;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 application procedures;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guidelines relating to grant amounts;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evaluating grant applications;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monitoring the use of a grant awarded under the program and ensuring compliance with any conditions of a grant.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shall include in the biennial report required by Section 772.006(a)(9) a detailed reporting of the results and performance of the grant program administered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may use any revenue available for purposes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