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86R2971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temporary injunction issued under Subchapter F, Chapter 6, Family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of emergency protection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documentation of the family violence against the tenant or an occupant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health care services provider who examined the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or evaluated the victim;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advocate as defined by Section 93.001, Family Code, who assisted the victim</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signs an order described by Subsection </w:t>
      </w:r>
      <w:r>
        <w:rPr>
          <w:u w:val="single"/>
        </w:rPr>
        <w:t xml:space="preserve">(b-1)(1) if the tenant obtained such an order</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(b-1)(1) or (2), as applicable,</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(b-1)(1)(A), (C), or (D) or (b-1)(2)</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