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1665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workers' compensation reporting requirements.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406.145(f), Labor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If a subsequent hiring agreement is made to which the joint agreement does not apply, the hiring contractor and independent contractor shall notify </w:t>
      </w:r>
      <w:r>
        <w:rPr>
          <w:u w:val="single"/>
        </w:rPr>
        <w:t xml:space="preserve">in writing: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the division and</w:t>
      </w:r>
      <w:r>
        <w:t xml:space="preserve">] the hiring contractor's workers' compensation insurance carrier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division, on the division's request</w:t>
      </w:r>
      <w:r>
        <w:t xml:space="preserve"> [</w:t>
      </w:r>
      <w:r>
        <w:rPr>
          <w:strike/>
        </w:rPr>
        <w:t xml:space="preserve">in writing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 notification required to be provided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1665 was passed by the House on April 17, 2019, by the following vote:</w:t>
      </w:r>
      <w:r xml:space="preserve">
        <w:t> </w:t>
      </w:r>
      <w:r xml:space="preserve">
        <w:t> </w:t>
      </w:r>
      <w:r>
        <w:t xml:space="preserve">Yeas 141, Nays 1,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1665 was passed by the Senate on May 10,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1665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