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86R5853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workers' compensation reporting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406.145(f),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If a subsequent hiring agreement is made to which the joint agreement does not apply, the hiring contractor and independent contractor shall notify </w:t>
      </w:r>
      <w:r>
        <w:rPr>
          <w:u w:val="single"/>
        </w:rPr>
        <w:t xml:space="preserve">in writing: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division and</w:t>
      </w:r>
      <w:r>
        <w:t xml:space="preserve">] the hiring contractor's workers' compensation insurance carrier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division, on the division's request</w:t>
      </w:r>
      <w:r>
        <w:t xml:space="preserve"> [</w:t>
      </w:r>
      <w:r>
        <w:rPr>
          <w:strike/>
        </w:rPr>
        <w:t xml:space="preserve">in writing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notification required to be provided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