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1674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Harris County Municipal Utility District No. 377;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8034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8034. HARRIS COUNTY MUNICIPAL UTILITY DISTRICT NO. 377</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8034.0101.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"district"</w:t>
      </w:r>
      <w:r>
        <w:rPr>
          <w:u w:val="single"/>
        </w:rPr>
        <w:t xml:space="preserve"> </w:t>
      </w:r>
      <w:r>
        <w:rPr>
          <w:u w:val="single"/>
        </w:rPr>
        <w:t xml:space="preserve">means the Harris County Municipal Utility District No. 377.</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8034.0102.</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8034.0201.</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8034.0202.</w:t>
      </w:r>
      <w:r>
        <w:rPr>
          <w:u w:val="single"/>
        </w:rPr>
        <w:t xml:space="preserve"> </w:t>
      </w:r>
      <w:r>
        <w:rPr>
          <w:u w:val="single"/>
        </w:rPr>
        <w:t xml:space="preserve"> </w:t>
      </w:r>
      <w:r>
        <w:rPr>
          <w:u w:val="single"/>
        </w:rPr>
        <w:t xml:space="preserve">ROAD STANDARDS AND REQUIREMENTS.  (a) </w:t>
      </w:r>
      <w:r>
        <w:rPr>
          <w:u w:val="single"/>
        </w:rPr>
        <w:t xml:space="preserve"> </w:t>
      </w:r>
      <w:r>
        <w:rPr>
          <w:u w:val="single"/>
        </w:rP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jc w:val="center"/>
      </w:pPr>
      <w:r>
        <w:rPr>
          <w:u w:val="single"/>
        </w:rPr>
        <w:t xml:space="preserve">SUBCHAPTER C. </w:t>
      </w:r>
      <w:r>
        <w:rPr>
          <w:u w:val="single"/>
        </w:rPr>
        <w:t xml:space="preserve"> </w:t>
      </w:r>
      <w:r>
        <w:rPr>
          <w:u w:val="single"/>
        </w:rPr>
        <w:t xml:space="preserve">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8034.0301.</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1674 was passed by the House on May 7, 2019, by the following vote:</w:t>
      </w:r>
      <w:r xml:space="preserve">
        <w:t> </w:t>
      </w:r>
      <w:r xml:space="preserve">
        <w:t> </w:t>
      </w:r>
      <w:r>
        <w:t xml:space="preserve">Yeas 125, Nays 21,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1674 was passed by the Senate on May 21,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