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86R6397 SCL-F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Raney</w:t>
      </w:r>
      <w:r xml:space="preserve">
        <w:tab wTab="150" tlc="none" cTlc="0"/>
      </w:r>
      <w:r>
        <w:t xml:space="preserve">H.B.</w:t>
      </w:r>
      <w:r xml:space="preserve">
        <w:t> </w:t>
      </w:r>
      <w:r>
        <w:t xml:space="preserve">No.</w:t>
      </w:r>
      <w:r xml:space="preserve">
        <w:t> </w:t>
      </w:r>
      <w:r>
        <w:t xml:space="preserve">1682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collection and use of child safety data for licensed day-care centers.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42.002, Human Resources Code, is amended by adding Subdivision (25) to read as follows:</w:t>
      </w:r>
    </w:p>
    <w:p w:rsidR="003F3435" w:rsidRDefault="0032493E">
      <w:pPr>
        <w:spacing w:line="480" w:lineRule="auto"/>
        <w:ind w:firstLine="1440"/>
        <w:jc w:val="both"/>
      </w:pPr>
      <w:r>
        <w:rPr>
          <w:u w:val="single"/>
        </w:rPr>
        <w:t xml:space="preserve">(25) "Commission"</w:t>
      </w:r>
      <w:r>
        <w:rPr>
          <w:u w:val="single"/>
        </w:rPr>
        <w:t xml:space="preserve"> </w:t>
      </w:r>
      <w:r>
        <w:rPr>
          <w:u w:val="single"/>
        </w:rPr>
        <w:t xml:space="preserve">means the Health and Human Services Commission.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C, Chapter 42, Human Resources Code, is amended by adding Section 42.0412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42.0412.</w:t>
      </w:r>
      <w:r>
        <w:rPr>
          <w:u w:val="single"/>
        </w:rPr>
        <w:t xml:space="preserve"> </w:t>
      </w:r>
      <w:r>
        <w:rPr>
          <w:u w:val="single"/>
        </w:rPr>
        <w:t xml:space="preserve"> </w:t>
      </w:r>
      <w:r>
        <w:rPr>
          <w:u w:val="single"/>
        </w:rPr>
        <w:t xml:space="preserve">COLLECTION OF LICENSED DAY-CARE CENTER DATA. </w:t>
      </w:r>
      <w:r>
        <w:rPr>
          <w:u w:val="single"/>
        </w:rPr>
        <w:t xml:space="preserve"> </w:t>
      </w:r>
      <w:r>
        <w:rPr>
          <w:u w:val="single"/>
        </w:rPr>
        <w:t xml:space="preserve">(a) </w:t>
      </w:r>
      <w:r>
        <w:rPr>
          <w:u w:val="single"/>
        </w:rPr>
        <w:t xml:space="preserve"> </w:t>
      </w:r>
      <w:r>
        <w:rPr>
          <w:u w:val="single"/>
        </w:rPr>
        <w:t xml:space="preserve">In this section, "group of children" and "specified age"</w:t>
      </w:r>
      <w:r>
        <w:rPr>
          <w:u w:val="single"/>
        </w:rPr>
        <w:t xml:space="preserve"> </w:t>
      </w:r>
      <w:r>
        <w:rPr>
          <w:u w:val="single"/>
        </w:rPr>
        <w:t xml:space="preserve">are determined by the formula provided in the commission's minimum standards for child-care centers.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using existing resources, shall collect, compile, and publish on the commission's Internet website the following data aggregated by child age on reported incidents in licensed day-care centers that threaten or impair the basic health, safety, or welfare of a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incidents investigated by the commission and assigned the commission's highest priority;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incidents investigated by the commission and assigned the commission's second-highest priority;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incidents confirmed as serious;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confirmed serious injuries to children;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number of child fatalities.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During each monitoring inspection of a licensed day-care center the commission conducts, the commission, using existing resources, shall collect the following data for each group of children four years of age and younger in the day-care center: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specified age of the children in the group;</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number of children in the group;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caregivers supervising the children in the group.</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commission shall make the data collected under this section available to persons researching the factors related to child injury, maltreatment, and death in licensed day-care centers on request.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using existing resources, shall provide an annual report to the legislature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confirmed serious injuries and fatalities for children four years of age and younger that occurred at each licensed day-care center, aggregated by the age of the injured or deceased child;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priority assigned to the investigation conducted by the commission in response to an incident that resulted in a serious injury or child fatality;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number of investigations conducted by the commission at each licensed day-care center involving a child four years of age or younger that were assigned the highest priority or second-highest priority, aggregated by the age of the youngest affected child;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number of violations the commission found at each licensed day-care center during investigations described by Subdivision (3).</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42.042, Human Resources Code, is amended by adding Subsection (m-1) to read as follows:</w:t>
      </w:r>
    </w:p>
    <w:p w:rsidR="003F3435" w:rsidRDefault="0032493E">
      <w:pPr>
        <w:spacing w:line="480" w:lineRule="auto"/>
        <w:ind w:firstLine="720"/>
        <w:jc w:val="both"/>
      </w:pPr>
      <w:r>
        <w:rPr>
          <w:u w:val="single"/>
        </w:rPr>
        <w:t xml:space="preserve">(m-1)</w:t>
      </w:r>
      <w:r>
        <w:rPr>
          <w:u w:val="single"/>
        </w:rPr>
        <w:t xml:space="preserve"> </w:t>
      </w:r>
      <w:r>
        <w:rPr>
          <w:u w:val="single"/>
        </w:rPr>
        <w:t xml:space="preserve"> </w:t>
      </w:r>
      <w:r>
        <w:rPr>
          <w:u w:val="single"/>
        </w:rPr>
        <w:t xml:space="preserve">Not later than January 1, 2021, the executive commissioner shall use the data collected under Section 42.0412 to determine whether to modify the minimum standards by age group to enhance child safety.  This subsection expires September 1, 2023.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Notwithstanding Section 42.0412(d), Human Resources Code, as added by this Act, the Health and Human Services Commission is not required to comply with that subsection until January 31, 2020.</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1682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