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86R8501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the regulation of orthotic and prosthetic technicians.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605.002(19), (20), and (21); and</w:t>
      </w:r>
    </w:p>
    <w:p w:rsidR="003F3435" w:rsidRDefault="0032493E">
      <w:pPr>
        <w:spacing w:line="480" w:lineRule="auto"/>
        <w:ind w:firstLine="1440"/>
        <w:jc w:val="both"/>
      </w:pPr>
      <w:r>
        <w:t xml:space="preserve">(2)</w:t>
      </w:r>
      <w:r xml:space="preserve">
        <w:t> </w:t>
      </w:r>
      <w:r xml:space="preserve">
        <w:t> </w:t>
      </w:r>
      <w:r>
        <w:t xml:space="preserve">Section 605.259.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On the effective date of this Act, a registered orthotic technician or registered prosthetic technician certificate issued under former Section 605.259,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orthotic and prosthetic technicians adopted under Chapter 605,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the validity of a proceeding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