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1689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 regarding the existence of a gestational agreement in a suit for the dissolution of a marriage and standing of an intended parent under a gestational agreement to file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6.406,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parties to the marriage have entered into a gestational agreement establishing a parent-child relationship between the parties as intended parents and an unborn child on the birth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gestational mother under the agreement is pregnant or a child who is the subject of the agreement has been born;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agreement has been validated under Section 160.756.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102.003,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160,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161 or to whom consent to adoption has been given in writing under Chapter 162;</w:t>
      </w:r>
    </w:p>
    <w:p w:rsidR="003F3435" w:rsidRDefault="0032493E">
      <w:pPr>
        <w:spacing w:line="480" w:lineRule="auto"/>
        <w:ind w:firstLine="1440"/>
        <w:jc w:val="both"/>
      </w:pPr>
      <w:r>
        <w:t xml:space="preserve">(11)</w:t>
      </w:r>
      <w:r xml:space="preserve">
        <w:t> </w:t>
      </w:r>
      <w:r xml:space="preserve">
        <w:t> </w:t>
      </w:r>
      <w: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(12)</w:t>
      </w:r>
      <w:r xml:space="preserve">
        <w:t> </w:t>
      </w:r>
      <w:r xml:space="preserve">
        <w:t> </w:t>
      </w:r>
      <w:r>
        <w:t xml:space="preserve">a person who is the foster parent of a child placed by the Department of Family and Protective Services in the person's home for at least 12 months ending not more than 90 days preceding the date of the filing of the petition;</w:t>
      </w:r>
    </w:p>
    <w:p w:rsidR="003F3435" w:rsidRDefault="0032493E">
      <w:pPr>
        <w:spacing w:line="480" w:lineRule="auto"/>
        <w:ind w:firstLine="1440"/>
        <w:jc w:val="both"/>
      </w:pPr>
      <w:r>
        <w:t xml:space="preserve">(13)</w:t>
      </w:r>
      <w:r xml:space="preserve">
        <w:t> </w:t>
      </w:r>
      <w:r xml:space="preserve">
        <w:t> </w:t>
      </w:r>
      <w:r>
        <w:t xml:space="preserve">a person who is a relative of the child within the third degree by consanguinity, as determined by Chapter 573, Government Code, if the child's parents are deceased at the time of the filing of the petition;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subject to Subsection (d), a person who is an intended parent of a child or unborn child under a gestational agreement that substantially complies with the requirements of Section 160.754</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(a)(15) has standing to file an original suit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filing an original suit jointly with the other intended parent under the gestational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filing an original suit against the other intended parent under the gestational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6.406, Family Code, as amended by this Act, applies only to a petition for dissolution of a marriage that is filed on or after the effective date of this Act.  A petition for dissolution of a marriage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