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86R20724 SOS-F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Howard, Stucky, Frank, Minjarez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1702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services provided for students at public institutions of higher education who are or were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Section 51.9356,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Sec.</w:t>
      </w:r>
      <w:r xml:space="preserve">
        <w:t> </w:t>
      </w:r>
      <w:r>
        <w:t xml:space="preserve">51.9356.</w:t>
      </w:r>
      <w:r xml:space="preserve">
        <w:t> </w:t>
      </w:r>
      <w:r xml:space="preserve">
        <w:t> </w:t>
      </w:r>
      <w:r>
        <w:t xml:space="preserve">DESIGNATION OF LIAISON OFFICER TO ASSIST STUDENTS </w:t>
      </w:r>
      <w:r>
        <w:rPr>
          <w:u w:val="single"/>
        </w:rPr>
        <w:t xml:space="preserve">WHO ARE OR WERE</w:t>
      </w:r>
      <w:r>
        <w:t xml:space="preserve"> </w:t>
      </w:r>
      <w:r>
        <w:t xml:space="preserve">[</w:t>
      </w:r>
      <w:r>
        <w:rPr>
          <w:strike/>
        </w:rPr>
        <w:t xml:space="preserve">FORMERLY</w:t>
      </w:r>
      <w:r>
        <w:t xml:space="preserve">] IN FOSTER CARE.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51.9356, Education Code, is amended by amending Subsection (b) and adding Subsections (c), (d), (e), and (f)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Each institution of higher education shall designate at least one employee of the institution to act as a liaison officer for current and incoming students at the institution who </w:t>
      </w:r>
      <w:r>
        <w:rPr>
          <w:u w:val="single"/>
        </w:rPr>
        <w:t xml:space="preserve">are or</w:t>
      </w:r>
      <w:r>
        <w:t xml:space="preserve"> </w:t>
      </w:r>
      <w:r>
        <w:t xml:space="preserve">were formerly in the conservatorship of the Department of Family and Protective Services</w:t>
      </w:r>
      <w:r>
        <w:rPr>
          <w:u w:val="single"/>
        </w:rPr>
        <w:t xml:space="preserve">. </w:t>
      </w:r>
      <w:r>
        <w:rPr>
          <w:u w:val="single"/>
        </w:rPr>
        <w:t xml:space="preserve"> </w:t>
      </w:r>
      <w:r>
        <w:rPr>
          <w:u w:val="single"/>
        </w:rPr>
        <w:t xml:space="preserve">To the extent allowed by state or federal law, the institution shall identify those students from information provided to the institution in admission or financial aid applications or other available resources.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semester or other academic term, an institution of higher education shall provide to the institution's liaison officer the names of and information regarding the students described by Subsection (b)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(d)</w:t>
      </w:r>
      <w:r xml:space="preserve">
        <w:t> </w:t>
      </w:r>
      <w:r xml:space="preserve">
        <w:t> </w:t>
      </w:r>
      <w:r>
        <w:t xml:space="preserve">The liaison officer shall provide to </w:t>
      </w:r>
      <w:r>
        <w:rPr>
          <w:u w:val="single"/>
        </w:rPr>
        <w:t xml:space="preserve">the</w:t>
      </w:r>
      <w:r>
        <w:t xml:space="preserve"> </w:t>
      </w:r>
      <w:r>
        <w:t xml:space="preserve">[</w:t>
      </w:r>
      <w:r>
        <w:rPr>
          <w:strike/>
        </w:rPr>
        <w:t xml:space="preserve">those</w:t>
      </w:r>
      <w:r>
        <w:t xml:space="preserve">] students </w:t>
      </w:r>
      <w:r>
        <w:rPr>
          <w:u w:val="single"/>
        </w:rPr>
        <w:t xml:space="preserve">described by Subsection (b)</w:t>
      </w:r>
      <w:r>
        <w:t xml:space="preserve"> </w:t>
      </w:r>
      <w:r>
        <w:t xml:space="preserve">information regarding support services and other resources available to the students at the institution and any other relevant information to assist the students.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(e)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liaison officer may participate in any training that enables the officer to carry out the officer's duties and coordinate with liaison officers at other educational institutions.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(f)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Each institution of higher education shall publicize, including through the institution's Internet website, social media, electronic mail, or other means of communication used by the institution: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name of and contact information for the institution's liaison officer;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information regarding support services and other resources available at the institution to the students described by Subsection (b).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Not later than January 1, 2020, each public institution of higher education shall publicize the information required by Section 51.9356(f), Education Code, as added by this Act.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1702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