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86R3015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were formerly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FORMERLY IN FOSTER CARE.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</w:t>
      </w:r>
      <w:r>
        <w:t xml:space="preserve"> [</w:t>
      </w:r>
      <w:r>
        <w:rPr>
          <w:strike/>
        </w:rPr>
        <w:t xml:space="preserve">, "institution</w:t>
      </w:r>
      <w:r>
        <w:t xml:space="preserve">]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were formerly in the conservatorship of the </w:t>
      </w:r>
      <w:r>
        <w:rPr>
          <w:u w:val="single"/>
        </w:rPr>
        <w:t xml:space="preserve">department</w:t>
      </w:r>
      <w:r>
        <w:t xml:space="preserve"> [</w:t>
      </w:r>
      <w:r>
        <w:rPr>
          <w:strike/>
        </w:rPr>
        <w:t xml:space="preserve">Department of Family and Protective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The liaison officer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at least annually the names of and information regarding current and incoming students at the institution of higher education who were formerly in the conservatorship of 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provide to those students 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students who were formerly in the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institution of higher education shall publicize the information required by Section 51.9356(e),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