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1710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discussing with a patient the risks of certain controlled substance prescriptions.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481.0764, Health and Safety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other than a veterinarian, on issuance of the initial prescription for a Schedule II controlled substance or an opioid, shall discuss with the patient and, if the patient is a minor, the patient's parent, conservator, or guardian, or other person authorized to consent to the minor's medical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addiction associated with the drug prescribed, including any risk of developing a physical or psychological dependence on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risk of overdose associated with the drug prescribed;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danger of taking the drug with benzodiazepines, alcohol, or other central nervous system depressants.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prescriber who discusses the risks of a controlled substance prescription under Subsection (f) shall note the discussion in the patient's medical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