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86R11576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public facilities financed, owned, and operated by a public facility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expressly authorizes a sponsor to which Section 303.042(d) does not apply to create a corporation to finance, own, and operate a multifamily residential development that meets the requirements of Section 303.042(d-1).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303.042, Local Government Code, is amended by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exemption under this section for a multifamily residential development that is owned by a corporation created under this chapter and that is not otherwise described by Subsection (d) applies only if the development meets the requirements of Subsection (d)(2) or accomplishes a governmental purpose of the sponsor.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Subsections (a) and (b), if a corporation created under this chapter owns a multifamily residential development described by Subsection (d-1), the sponsor of the corporation is considered the user of the public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