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86R8511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1724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teachers from the payment of a fee for the issuance of a driver's license or personal identification certificate.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TEACHER EXEMPTION.  (a)  In this section, "teacher" means a principal, supervisor, classroom teacher, school counselor, or other full-time professional employee who is required to hold a certificate issued under Subchapter B, Chapter 21,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who is, at the time of application, a teacher or a retired teacher is exempt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require an applicant requesting an exemption under this section to provide proof of the applicant's entitlement to the exemption. </w:t>
      </w:r>
      <w:r>
        <w:rPr>
          <w:u w:val="single"/>
        </w:rPr>
        <w:t xml:space="preserve"> </w:t>
      </w:r>
      <w:r>
        <w:rPr>
          <w:u w:val="single"/>
        </w:rPr>
        <w:t xml:space="preserve">The department shall adopt rules relating to the proof of entitlement to the exemption, which may include, for retired teachers, statements or other communications issued by the Teacher Retirement System of Texas that evidence payment of an annuity from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521.4265, Transportation Code, as added by this Act, applies only to a driver's license or personal identification certificate for which an application is submitted on or after the effective date of this Act. </w:t>
      </w:r>
      <w:r>
        <w:t xml:space="preserve"> </w:t>
      </w:r>
      <w:r>
        <w:t xml:space="preserve">A driver's license or personal identification certificate for which an application was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