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1728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 breaks for employees of certain contractors with a governmental entity;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2252, Government Code, is amended by adding Sections 2252.909 and 2252.910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2252.909.</w:t>
      </w:r>
      <w:r>
        <w:rPr>
          <w:u w:val="single"/>
        </w:rPr>
        <w:t xml:space="preserve"> </w:t>
      </w:r>
      <w:r>
        <w:rPr>
          <w:u w:val="single"/>
        </w:rPr>
        <w:t xml:space="preserve"> </w:t>
      </w:r>
      <w:r>
        <w:rPr>
          <w:u w:val="single"/>
        </w:rPr>
        <w:t xml:space="preserve">REST BREAKS REQUIRED FOR EMPLOYEES PERFORMING CONSTRUCTION WORK UNDER CONTRACTS WITH GOVERNMENTAL ENTITIES.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contract" means a contract or agreement for the performance of general construction for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firm, or corporation contracting with a governmental entity for general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an individual paid by a contractor or subcontractor to perform general construction work or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"General construction"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erecting or preparing to erect a structure, including a building, bridge, roadway, public utility facility, or related 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remodeling, extending, repairing, or demolishing a structure;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otherwise improving real property or a structure related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county, public school district, or special-purpose district or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 break" means a break from work during work hours. </w:t>
      </w:r>
      <w:r>
        <w:rPr>
          <w:u w:val="single"/>
        </w:rPr>
        <w:t xml:space="preserve"> </w:t>
      </w:r>
      <w:r>
        <w:rPr>
          <w:u w:val="single"/>
        </w:rPr>
        <w:t xml:space="preserve">The term does not include a regular meal break period provided to an employee by a contractor or subcontractor.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contracting with a contractor shall require the contractor and any subcontractor to provide at least a 10-minute paid rest break within every four hour period of work to each employee performing work under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construction contract with a governmental entity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required to work without a rest break in violation of Subsection (b) to make a verbal or written complaint to the governmental entity contracting with the contractor;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violation of Subsection (b) that is the subject of a complaint, the governmental entity shall provide to the contractor written notice of the violation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governmental entity may impose an administrative penalty if the contractor fails to comply with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 penalty amount may be withheld from a payment otherwise owed to a contractor under a construction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 penalty imposed under Subsection (c)(3) is an amount not less than $100 and not more than $500 per day if any employee is required to work without a rest break in violation of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governmental entity shall develop procedures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2252.910.</w:t>
      </w:r>
      <w:r>
        <w:rPr>
          <w:u w:val="single"/>
        </w:rPr>
        <w:t xml:space="preserve"> </w:t>
      </w:r>
      <w:r>
        <w:rPr>
          <w:u w:val="single"/>
        </w:rPr>
        <w:t xml:space="preserve"> </w:t>
      </w:r>
      <w:r>
        <w:rPr>
          <w:u w:val="single"/>
        </w:rPr>
        <w:t xml:space="preserve">PREEMPTION OF LOCAL ORDINANCE.  This section does not preempt a local ordinance or rule more stringent than Sec. 2252.909.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2252.909, Government C</w:t>
      </w:r>
      <w:r>
        <w:t xml:space="preserve">ode, as added by this Act, applies only to a contract for which the solicitation of qualifications, proposals, or other similar expressions of interest is published on or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