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1740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limitation on the salary of superintendents of school districts.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11.201, Education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school district may not employ a superintendent for an annual salary in an amount that is greater than 125 percent of the amount of the annual salary authorized by the legislature for the governor. For purposes of this subsection, a superintendent's  annual salary does not include an amount paid by the district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bonus;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allowance or stipend.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to an employment contract that is entered into on or after September 1, 2019. An employment contract that is entered into before September 1, 2019, is governed by the law as it existed at the time the contract was entered into, and the former law remains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