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86R11116 TJB-F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1745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property owner or owner's agent to bring suit to compel an appraisal district, chief appraiser, or appraisal review board to comply with a procedural requirement applicable to an ad valorem tax protest.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41, Tax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LIMITED SUIT TO COMPEL COMPLIANCE WITH PROCEDURAL REQUIREMENT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41.81.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LIMITED SUIT.  (a) </w:t>
      </w:r>
      <w:r>
        <w:rPr>
          <w:u w:val="single"/>
        </w:rPr>
        <w:t xml:space="preserve"> </w:t>
      </w:r>
      <w:r>
        <w:rPr>
          <w:u w:val="single"/>
        </w:rPr>
        <w:t xml:space="preserve">A property owner or the designated agent of the owner who has filed a notice of protest under this chapter may bring suit against an appraisal district, chief appraiser, or appraisal review board to compel the district, chief appraiser, or board to comply with a procedural requirement imposed under this chapter or under a rule established by the board under this chapter that is applicable to the protest.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property owner or agent may bring suit under this section by filing a petition or application in district court.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suit brought under this section is for the limited purpose of determining whether the defendant failed to comply with the procedural requirement that is the subject of the suit.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suit brought under this section may not address the merits of a motion filed under Section 25.25 or a protest filed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41.82.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 DISCOVERY. </w:t>
      </w:r>
      <w:r>
        <w:rPr>
          <w:u w:val="single"/>
        </w:rPr>
        <w:t xml:space="preserve"> </w:t>
      </w:r>
      <w:r>
        <w:rPr>
          <w:u w:val="single"/>
        </w:rPr>
        <w:t xml:space="preserve">Neither party may conduct discovery in a suit brought under this subchapter.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41.83.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HEARING.  (a) </w:t>
      </w:r>
      <w:r>
        <w:rPr>
          <w:u w:val="single"/>
        </w:rPr>
        <w:t xml:space="preserve"> </w:t>
      </w:r>
      <w:r>
        <w:rPr>
          <w:u w:val="single"/>
        </w:rPr>
        <w:t xml:space="preserve">The court in which a suit under this subchapter is filed shall set down the matter described in the petition or application for hearing at the earliest possible date.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end of the hearing, the court must determine the merits of the suit.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court determines that the defendant failed to comply with a procedural requirement imposed on the defendant under this chapter or under a rule established by the board under this chapter, the court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order the defendant to comply with the procedural requirement;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enter any order necessary to preserve rights protected by, and impose duties required by, the law;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award court costs and reasonable attorney's fees to the property owner or designated agent of the owner.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entered under this section is final and may not be appealed.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41, Tax Code, as added by this Act, applies only to a procedural requirement as described by Section 41.81 of that subchapter that a property owner or the designated agent of the owner alleges was required to have been complied with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