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86R8622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1754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school safety allotment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school district's safety and security audit required under Subsection (b), the district must certify that the district used the funds provided to the district through the school safety allotment under Section 42.168 only for the purposes provided by that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Education Code, is amended by adding Section 42.168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42.168.</w:t>
      </w:r>
      <w:r>
        <w:rPr>
          <w:u w:val="single"/>
        </w:rPr>
        <w:t xml:space="preserve"> </w:t>
      </w:r>
      <w:r>
        <w:rPr>
          <w:u w:val="single"/>
        </w:rPr>
        <w:t xml:space="preserve"> </w:t>
      </w:r>
      <w:r>
        <w:rPr>
          <w:u w:val="single"/>
        </w:rPr>
        <w:t xml:space="preserve">SCHOOL SAFETY ALLOTMENT.  (a)  A school district is entitled to an annual allotment of $50, or a greater amount provided by appropriation, for each student in average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improve school safety and security, including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school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improvements to school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or installation of physical barriers;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purchase and maintenance of security cameras or other security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security for the district,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employing school district peace officers, private security officers, and school marshals;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collaborating with local law enforcement agencies, such as entering into a memorandum of understanding for the assignment of school resource officers to schools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safety and security training and planning,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active shooter and emergency response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prevention and treatment programs relating to addressing adverse childhood experiences.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