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86R6568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and interagency review of resources to support and sustain recovery community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RECOVERY COMMUNITY ORGANIZATION GRANT PROGRAM.  (a)  In this section, "recovery community organization" means a nonprofit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mobilizes resources inside and outside of a local community to increase the prevalence and quality of long-term recovery for persons with substance use disorder and their family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wholly or partly governed by members of the local community: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40 percent of whom identify as a person recovering from a substance use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40 percent of whom identify as an affected family member of a person recovering from a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operate a grant program to award grants to recovery community organizations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network of five recovery community organizations in geographical areas throughout this state to provide services in one or more counties with populations of not more than 100,000;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each recovery community organization described by Subdivision (1) in developing: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structure of governance that aligns with national best practice standards for substance use recovery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strategic plan to identify: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available resources within a community served by the recovery community organization;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prioritized needs of a community served by the recovery community organization;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recovery support solutions;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short- and long-term goals for the sustained operation of the recovery community organization and the recovery of persons within a community served by the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recovery community organization.  The contract must include provisions under which the commission is granted sufficient control to ensure the public purpose of substance use recovery is accomplished and the state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money appropriated by the legislature, the commission may solicit and accept gifts, grants, or donations from any source to administer or finance the grant program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"recovery community organization" has the meaning assigned by Section 531.02253, Government Code, as added by this Act.</w:t>
      </w:r>
    </w:p>
    <w:p w:rsidR="003F3435" w:rsidRDefault="0032493E">
      <w:pPr>
        <w:spacing w:line="480" w:lineRule="auto"/>
        <w:ind w:firstLine="720"/>
        <w:jc w:val="both"/>
      </w:pPr>
      <w:r>
        <w:t xml:space="preserve">(b)</w:t>
      </w:r>
      <w:r xml:space="preserve">
        <w:t> </w:t>
      </w:r>
      <w:r xml:space="preserve">
        <w:t> </w:t>
      </w:r>
      <w:r>
        <w:t xml:space="preserve">Each of the following state agencies shall identify available resources under the state agency's control that may be used to support and sustain recovery community organizations throughout this state:</w:t>
      </w:r>
    </w:p>
    <w:p w:rsidR="003F3435" w:rsidRDefault="0032493E">
      <w:pPr>
        <w:spacing w:line="480" w:lineRule="auto"/>
        <w:ind w:firstLine="1440"/>
        <w:jc w:val="both"/>
      </w:pPr>
      <w:r>
        <w:t xml:space="preserve">(1)</w:t>
      </w:r>
      <w:r xml:space="preserve">
        <w:t> </w:t>
      </w:r>
      <w:r xml:space="preserve">
        <w:t> </w:t>
      </w:r>
      <w:r>
        <w:t xml:space="preserve">the Health and Human Services Commission;</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the Texas Education Agency;</w:t>
      </w:r>
    </w:p>
    <w:p w:rsidR="003F3435" w:rsidRDefault="0032493E">
      <w:pPr>
        <w:spacing w:line="480" w:lineRule="auto"/>
        <w:ind w:firstLine="1440"/>
        <w:jc w:val="both"/>
      </w:pPr>
      <w:r>
        <w:t xml:space="preserve">(5)</w:t>
      </w:r>
      <w:r xml:space="preserve">
        <w:t> </w:t>
      </w:r>
      <w:r xml:space="preserve">
        <w:t> </w:t>
      </w:r>
      <w:r>
        <w:t xml:space="preserve">the Department of Agriculture;</w:t>
      </w:r>
    </w:p>
    <w:p w:rsidR="003F3435" w:rsidRDefault="0032493E">
      <w:pPr>
        <w:spacing w:line="480" w:lineRule="auto"/>
        <w:ind w:firstLine="1440"/>
        <w:jc w:val="both"/>
      </w:pPr>
      <w:r>
        <w:t xml:space="preserve">(6)</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(7)</w:t>
      </w:r>
      <w:r xml:space="preserve">
        <w:t> </w:t>
      </w:r>
      <w:r xml:space="preserve">
        <w:t> </w:t>
      </w:r>
      <w:r>
        <w:t xml:space="preserve">the Texas Department of Criminal Justice;</w:t>
      </w:r>
    </w:p>
    <w:p w:rsidR="003F3435" w:rsidRDefault="0032493E">
      <w:pPr>
        <w:spacing w:line="480" w:lineRule="auto"/>
        <w:ind w:firstLine="1440"/>
        <w:jc w:val="both"/>
      </w:pPr>
      <w:r>
        <w:t xml:space="preserve">(8)</w:t>
      </w:r>
      <w:r xml:space="preserve">
        <w:t> </w:t>
      </w:r>
      <w:r xml:space="preserve">
        <w:t> </w:t>
      </w:r>
      <w:r>
        <w:t xml:space="preserve">the Texas Juvenile Justice Department;</w:t>
      </w:r>
    </w:p>
    <w:p w:rsidR="003F3435" w:rsidRDefault="0032493E">
      <w:pPr>
        <w:spacing w:line="480" w:lineRule="auto"/>
        <w:ind w:firstLine="1440"/>
        <w:jc w:val="both"/>
      </w:pPr>
      <w:r>
        <w:t xml:space="preserve">(9)</w:t>
      </w:r>
      <w:r xml:space="preserve">
        <w:t> </w:t>
      </w:r>
      <w:r xml:space="preserve">
        <w:t> </w:t>
      </w:r>
      <w:r>
        <w:t xml:space="preserve">the Texas Veterans Commission; and</w:t>
      </w:r>
    </w:p>
    <w:p w:rsidR="003F3435" w:rsidRDefault="0032493E">
      <w:pPr>
        <w:spacing w:line="480" w:lineRule="auto"/>
        <w:ind w:firstLine="1440"/>
        <w:jc w:val="both"/>
      </w:pPr>
      <w:r>
        <w:t xml:space="preserve">(10)</w:t>
      </w:r>
      <w:r xml:space="preserve">
        <w:t> </w:t>
      </w:r>
      <w:r xml:space="preserve">
        <w:t> </w:t>
      </w:r>
      <w:r>
        <w:t xml:space="preserve">the Texas A&amp;M AgriLife Extension Service.</w:t>
      </w:r>
    </w:p>
    <w:p w:rsidR="003F3435" w:rsidRDefault="0032493E">
      <w:pPr>
        <w:spacing w:line="480" w:lineRule="auto"/>
        <w:ind w:firstLine="720"/>
        <w:jc w:val="both"/>
      </w:pPr>
      <w:r>
        <w:t xml:space="preserve">(c)</w:t>
      </w:r>
      <w:r xml:space="preserve">
        <w:t> </w:t>
      </w:r>
      <w:r xml:space="preserve">
        <w:t> </w:t>
      </w:r>
      <w:r>
        <w:t xml:space="preserve">Not later than September 1, 2020, each state agency described by Subsection (b) of this section shall prepare and submit to the legislature a written report that outlines the available resources identified by the state agency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531.02253,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