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86R6769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core curriculum at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61.821(1), Education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"Core curriculum" means the </w:t>
      </w:r>
      <w:r>
        <w:rPr>
          <w:u w:val="single"/>
        </w:rPr>
        <w:t xml:space="preserve">basic</w:t>
      </w:r>
      <w:r>
        <w:t xml:space="preserve"> curriculum in liberal arts, humanities, and sciences and political, social, and cultural history that all undergraduate students of an institution of higher education are </w:t>
      </w:r>
      <w:r>
        <w:rPr>
          <w:u w:val="single"/>
        </w:rPr>
        <w:t xml:space="preserve">expected to know and are</w:t>
      </w:r>
      <w:r>
        <w:t xml:space="preserve"> required to complete before receiving an academic undergraduate degree.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61.822, Education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institution of higher education shall adopt a core curriculum of no less than 42 semester credit hours, including specific courses comprising the curriculum. The core curriculum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consist only of courses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listed in: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common course numbering system approved by the board;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board's manual of general academic transfer courses that may be offered for state funding by public junior colleges, public state colleges, and public technical institutes;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the equivalent of courses described by Paragraph (A), as determined by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be consistent with [</w:t>
      </w:r>
      <w:r>
        <w:rPr>
          <w:strike/>
        </w:rPr>
        <w:t xml:space="preserve">the common course numbering system approved by the board and with</w:t>
      </w:r>
      <w:r>
        <w:t xml:space="preserve">] the statement, recommendations, and rules issued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An institution may have a core curriculum of other than 42 semester credit hours only if approved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130.0104(b),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multidisciplinary studies associate degree program established at a junior college under this section must require a student to successfully complete: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junior college's core curriculum adopted under Section </w:t>
      </w:r>
      <w:r>
        <w:rPr>
          <w:u w:val="single"/>
        </w:rPr>
        <w:t xml:space="preserve">61.822</w:t>
      </w:r>
      <w:r>
        <w:t xml:space="preserve"> [</w:t>
      </w:r>
      <w:r>
        <w:rPr>
          <w:strike/>
        </w:rPr>
        <w:t xml:space="preserve">61.822(b)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after completion of the core curriculum under Subdivision (1), the courses selected by the student in the student's degree plan completed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61.821 and 61.822, Education Code, as amended by this Act, apply beginning with the 2020-2021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