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86R7635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1763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children of public school educators for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an educator employed by a school district in this state</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w:t>
      </w:r>
      <w:r>
        <w:rPr>
          <w:u w:val="single"/>
        </w:rPr>
        <w:t xml:space="preserve">,</w:t>
      </w:r>
      <w:r>
        <w:t xml:space="preserve"> [</w:t>
      </w:r>
      <w:r>
        <w:rPr>
          <w:strike/>
        </w:rPr>
        <w:t xml:space="preserve">or</w:t>
      </w:r>
      <w:r>
        <w:t xml:space="preserve">] (5)</w:t>
      </w:r>
      <w:r>
        <w:rPr>
          <w:u w:val="single"/>
        </w:rPr>
        <w:t xml:space="preserve">, or (8)</w:t>
      </w:r>
      <w:r>
        <w:t xml:space="preserve"> remains eligible for enrollment </w:t>
      </w:r>
      <w:r>
        <w:rPr>
          <w:u w:val="single"/>
        </w:rPr>
        <w:t xml:space="preserve">after the child begins a prekindergarten class</w:t>
      </w:r>
      <w:r>
        <w:t xml:space="preserve"> if</w:t>
      </w:r>
      <w:r>
        <w:rPr>
          <w:u w:val="single"/>
        </w:rPr>
        <w:t xml:space="preserve">, as applicable,</w:t>
      </w:r>
      <w:r>
        <w:t xml:space="preserve"> the child's parent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leaves the armed forces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is no longer on active duty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 longer employed as an educator by a school district in this state</w:t>
      </w:r>
      <w:r>
        <w:t xml:space="preserve">[</w:t>
      </w:r>
      <w:r>
        <w:rPr>
          <w:strike/>
        </w:rPr>
        <w:t xml:space="preserve">, after the child begins a prekindergarten class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