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86R9617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1764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location of hearings relating to contested cases before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2003.047, Government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contested case hearing under this section shall be conducted in the house district in which the facility or proposed facility for which the permit or permit amendment under consideration in the contested case hearing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apply to a contested case hearing conducted by the State Office of Administrative Hearings under Section 2003.047, Government Code, as amended by this Act, for which the location of the hearing was determined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