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et al.</w:t>
      </w:r>
      <w:r xml:space="preserve">
        <w:tab wTab="150" tlc="none" cTlc="0"/>
      </w:r>
      <w:r>
        <w:t xml:space="preserve">H.B.</w:t>
      </w:r>
      <w:r xml:space="preserve">
        <w:t> </w:t>
      </w:r>
      <w:r>
        <w:t xml:space="preserve">No.</w:t>
      </w:r>
      <w:r xml:space="preserve">
        <w:t> </w:t>
      </w:r>
      <w:r>
        <w:t xml:space="preserve">1767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 Bettencourt)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16,</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1767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consideration of employee compensation and benefits in establishing the rates of gas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 Utilities Code, is amended by adding Section 104.060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104.060.</w:t>
      </w:r>
      <w:r>
        <w:rPr>
          <w:u w:val="single"/>
        </w:rPr>
        <w:t xml:space="preserve"> </w:t>
      </w:r>
      <w:r>
        <w:rPr>
          <w:u w:val="single"/>
        </w:rPr>
        <w:t xml:space="preserve"> </w:t>
      </w:r>
      <w:r>
        <w:rPr>
          <w:u w:val="single"/>
        </w:rPr>
        <w:t xml:space="preserve">CONSIDERATION OF COMPENSATION AND BENEFIT EXPENSES.  (a)  In this section, "employee compensation and benefits" includes base salaries, wages, incentive compensation, and benefits.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pension or other postemployment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compensation related to attaining financial metrics for an executive officer whose compensation is required to be disclosed under 17 C.F.R. Section 229.402(a).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 gas utility's rates, the regulatory authority shall presume that employee compensation and benefits expenses are reasonable and necessary if the expenses are consistent with recent market compensation studies.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104.060, Utilities Code, as added by this Act, applies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