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86R10119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Murphy</w:t>
      </w:r>
      <w:r xml:space="preserve">
        <w:tab wTab="150" tlc="none" cTlc="0"/>
      </w:r>
      <w:r>
        <w:t xml:space="preserve">H.B.</w:t>
      </w:r>
      <w:r xml:space="preserve">
        <w:t> </w:t>
      </w:r>
      <w:r>
        <w:t xml:space="preserve">No.</w:t>
      </w:r>
      <w:r xml:space="preserve">
        <w:t> </w:t>
      </w:r>
      <w:r>
        <w:t xml:space="preserve">1768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employee compensation and benefits in establishing the rates of electric and gas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36, Utilities Code, is amended by adding Section 36.066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36.066.</w:t>
      </w:r>
      <w:r>
        <w:rPr>
          <w:u w:val="single"/>
        </w:rPr>
        <w:t xml:space="preserve"> </w:t>
      </w:r>
      <w:r>
        <w:rPr>
          <w:u w:val="single"/>
        </w:rPr>
        <w:t xml:space="preserve"> </w:t>
      </w:r>
      <w:r>
        <w:rPr>
          <w:u w:val="single"/>
        </w:rPr>
        <w:t xml:space="preserve">CONSIDERATION OF COMPENSATION AND BENEFIT EXPENSES.  (a) </w:t>
      </w:r>
      <w:r>
        <w:rPr>
          <w:u w:val="single"/>
        </w:rPr>
        <w:t xml:space="preserve"> </w:t>
      </w:r>
      <w:r>
        <w:rPr>
          <w:u w:val="single"/>
        </w:rPr>
        <w:t xml:space="preserve">In this section, "employee compensation and benefits" includes base salaries, wages, incentive compensation, and benefits. </w:t>
      </w:r>
      <w:r>
        <w:rPr>
          <w:u w:val="single"/>
        </w:rPr>
        <w:t xml:space="preserve"> </w:t>
      </w:r>
      <w:r>
        <w:rPr>
          <w:u w:val="single"/>
        </w:rPr>
        <w:t xml:space="preserve">The term does not include pension and other postemployment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establishing an electric utility's rates, the regulatory authority shall presume that employee compensation and benefits expenses are reasonable and necessary if the expenses are consistent with recent market compensation studies.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104, Utilities Code, is amended by adding Section 104.060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104.060.</w:t>
      </w:r>
      <w:r>
        <w:rPr>
          <w:u w:val="single"/>
        </w:rPr>
        <w:t xml:space="preserve"> </w:t>
      </w:r>
      <w:r>
        <w:rPr>
          <w:u w:val="single"/>
        </w:rPr>
        <w:t xml:space="preserve"> </w:t>
      </w:r>
      <w:r>
        <w:rPr>
          <w:u w:val="single"/>
        </w:rPr>
        <w:t xml:space="preserve">CONSIDERATION OF COMPENSATION AND BENEFIT EXPENSES.  (a) </w:t>
      </w:r>
      <w:r>
        <w:rPr>
          <w:u w:val="single"/>
        </w:rPr>
        <w:t xml:space="preserve"> </w:t>
      </w:r>
      <w:r>
        <w:rPr>
          <w:u w:val="single"/>
        </w:rPr>
        <w:t xml:space="preserve">In this section, "employee compensation and benefits" includes base salaries, wages, incentive compensation, and benefits. </w:t>
      </w:r>
      <w:r>
        <w:rPr>
          <w:u w:val="single"/>
        </w:rPr>
        <w:t xml:space="preserve"> </w:t>
      </w:r>
      <w:r>
        <w:rPr>
          <w:u w:val="single"/>
        </w:rPr>
        <w:t xml:space="preserve">The term does not include pension and other postemployment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establishing a gas utility's rates, the regulatory authority shall presume that employee compensation and benefits expenses are reasonable and necessary if the expenses are consistent with recent market compensation studies.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Sections 36.066 and 104.060, Utilities Code, as added by this Act, apply only to a proceeding for the establishment of rates for which the regulatory authority has not issued a final order or decision before the effective date of this Act.</w:t>
      </w:r>
    </w:p>
    <w:p w:rsidR="003F3435" w:rsidRDefault="0032493E">
      <w:pPr>
        <w:spacing w:line="480" w:lineRule="auto"/>
        <w:ind w:firstLine="720"/>
        <w:jc w:val="both"/>
      </w:pPr>
      <w:r>
        <w:t xml:space="preserve">(b)</w:t>
      </w:r>
      <w:r xml:space="preserve">
        <w:t> </w:t>
      </w:r>
      <w:r xml:space="preserve">
        <w:t> </w:t>
      </w:r>
      <w:r>
        <w:t xml:space="preserve">A proceeding for which the regulatory authority has issued a final order or decision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